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A89FD">
      <w:pPr>
        <w:pStyle w:val="3"/>
        <w:keepNext/>
        <w:keepLines/>
        <w:pageBreakBefore w:val="0"/>
        <w:widowControl w:val="0"/>
        <w:numPr>
          <w:ilvl w:val="0"/>
          <w:numId w:val="0"/>
        </w:numPr>
        <w:kinsoku/>
        <w:wordWrap/>
        <w:overflowPunct/>
        <w:topLinePunct w:val="0"/>
        <w:autoSpaceDE/>
        <w:autoSpaceDN/>
        <w:bidi w:val="0"/>
        <w:adjustRightInd/>
        <w:snapToGrid/>
        <w:spacing w:before="280" w:after="280" w:line="480" w:lineRule="auto"/>
        <w:ind w:leftChars="0"/>
        <w:jc w:val="center"/>
        <w:textAlignment w:val="auto"/>
        <w:rPr>
          <w:rFonts w:hint="eastAsia" w:ascii="宋体" w:hAnsi="宋体" w:eastAsia="宋体" w:cs="宋体"/>
        </w:rPr>
      </w:pPr>
      <w:r>
        <w:rPr>
          <w:rFonts w:hint="eastAsia" w:ascii="宋体" w:hAnsi="宋体" w:eastAsia="宋体" w:cs="宋体"/>
        </w:rPr>
        <w:t>2027年支撑辅助及管理类信息系统</w:t>
      </w:r>
    </w:p>
    <w:p w14:paraId="4C3A12B6">
      <w:pPr>
        <w:pStyle w:val="3"/>
        <w:keepNext/>
        <w:keepLines/>
        <w:pageBreakBefore w:val="0"/>
        <w:widowControl w:val="0"/>
        <w:numPr>
          <w:ilvl w:val="0"/>
          <w:numId w:val="0"/>
        </w:numPr>
        <w:kinsoku/>
        <w:wordWrap/>
        <w:overflowPunct/>
        <w:topLinePunct w:val="0"/>
        <w:autoSpaceDE/>
        <w:autoSpaceDN/>
        <w:bidi w:val="0"/>
        <w:adjustRightInd/>
        <w:snapToGrid/>
        <w:spacing w:before="280" w:after="280" w:line="480" w:lineRule="auto"/>
        <w:ind w:leftChars="0"/>
        <w:jc w:val="center"/>
        <w:textAlignment w:val="auto"/>
        <w:rPr>
          <w:rFonts w:hint="eastAsia" w:ascii="宋体" w:hAnsi="宋体" w:eastAsia="宋体" w:cs="宋体"/>
          <w:lang w:val="en-US"/>
        </w:rPr>
      </w:pPr>
      <w:r>
        <w:rPr>
          <w:rFonts w:hint="eastAsia" w:ascii="宋体" w:hAnsi="宋体" w:eastAsia="宋体" w:cs="宋体"/>
        </w:rPr>
        <w:t>运维管理服务项目需求</w:t>
      </w:r>
    </w:p>
    <w:p w14:paraId="64B556BB">
      <w:pPr>
        <w:pStyle w:val="3"/>
        <w:numPr>
          <w:ilvl w:val="0"/>
          <w:numId w:val="2"/>
        </w:numPr>
        <w:spacing w:before="0" w:after="0"/>
        <w:rPr>
          <w:rFonts w:hint="eastAsia" w:ascii="宋体" w:hAnsi="宋体" w:eastAsia="宋体" w:cs="宋体"/>
          <w:sz w:val="32"/>
          <w:szCs w:val="32"/>
          <w:lang w:val="en-US"/>
        </w:rPr>
      </w:pPr>
      <w:r>
        <w:rPr>
          <w:rFonts w:hint="eastAsia" w:ascii="宋体" w:hAnsi="宋体" w:eastAsia="宋体" w:cs="宋体"/>
          <w:sz w:val="32"/>
          <w:szCs w:val="32"/>
          <w:lang w:val="en-US"/>
        </w:rPr>
        <w:t>项目名称</w:t>
      </w:r>
    </w:p>
    <w:p w14:paraId="2EA326BB">
      <w:pPr>
        <w:pStyle w:val="3"/>
        <w:keepNext/>
        <w:keepLines/>
        <w:pageBreakBefore w:val="0"/>
        <w:widowControl w:val="0"/>
        <w:numPr>
          <w:ilvl w:val="0"/>
          <w:numId w:val="0"/>
        </w:numPr>
        <w:kinsoku/>
        <w:wordWrap/>
        <w:overflowPunct/>
        <w:topLinePunct w:val="0"/>
        <w:autoSpaceDE/>
        <w:autoSpaceDN/>
        <w:bidi w:val="0"/>
        <w:adjustRightInd/>
        <w:snapToGrid/>
        <w:spacing w:before="0" w:after="0" w:line="579" w:lineRule="auto"/>
        <w:ind w:left="0" w:firstLine="560" w:firstLineChars="200"/>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项目名称:2027年支撑辅助及管理类信息系统运维管理服务项目</w:t>
      </w:r>
    </w:p>
    <w:p w14:paraId="64A236E8">
      <w:pPr>
        <w:pStyle w:val="3"/>
        <w:numPr>
          <w:ilvl w:val="0"/>
          <w:numId w:val="2"/>
        </w:numPr>
        <w:spacing w:before="0" w:after="0"/>
        <w:rPr>
          <w:rFonts w:hint="eastAsia" w:ascii="宋体" w:hAnsi="宋体" w:eastAsia="宋体" w:cs="宋体"/>
          <w:sz w:val="32"/>
          <w:szCs w:val="32"/>
        </w:rPr>
      </w:pPr>
      <w:r>
        <w:rPr>
          <w:rFonts w:hint="eastAsia" w:ascii="宋体" w:hAnsi="宋体" w:eastAsia="宋体" w:cs="宋体"/>
          <w:sz w:val="32"/>
          <w:szCs w:val="32"/>
          <w:lang w:val="en-US"/>
        </w:rPr>
        <w:t>项目背景</w:t>
      </w:r>
    </w:p>
    <w:p w14:paraId="443DF010">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随着医院信息化建设的持续深化，支撑辅助及管理类信息系统已成为医院日常运营不可或缺的核心基础设施。这些系统覆盖医疗业务辅助、行政管理、后勤保障、科研教学等多个领域，其运行稳定性、数据安全性直接关系到医院整体运营效率与医疗服务质量。</w:t>
      </w:r>
    </w:p>
    <w:p w14:paraId="41F79356">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近年来，医院信息系统数量持续增长、业务复杂度不断提升，系统运维工作面临范围广、类型多、响应要求高等挑战。为进一步规范运维管理边界、明确服务内容标准、保障系统稳定高效运行，医院拟通过采购专业运维管理服务，建立标准化、体系化的运维保障机制。</w:t>
      </w:r>
    </w:p>
    <w:p w14:paraId="4CF9A725">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本项目的建设目标是通过建立完善的支撑辅助及管理类信息系统运维管理服务体系，为医院信息系统提供全方位、专业化的运维保障。具体目标包括：</w:t>
      </w:r>
    </w:p>
    <w:p w14:paraId="7522DAB9">
      <w:pPr>
        <w:spacing w:line="360" w:lineRule="auto"/>
        <w:ind w:firstLine="560" w:firstLineChars="200"/>
        <w:rPr>
          <w:rFonts w:hint="eastAsia" w:ascii="宋体" w:hAnsi="宋体" w:eastAsia="宋体" w:cs="宋体"/>
          <w:sz w:val="28"/>
          <w:szCs w:val="28"/>
          <w:lang w:val="en-US"/>
        </w:rPr>
      </w:pPr>
      <w:r>
        <w:rPr>
          <w:rFonts w:hint="eastAsia" w:ascii="宋体" w:hAnsi="宋体" w:eastAsia="宋体" w:cs="宋体"/>
          <w:sz w:val="28"/>
          <w:szCs w:val="28"/>
          <w:lang w:val="en-US"/>
        </w:rPr>
        <w:t>1.保障系统稳定运行：通过日常巡检、故障快速处置、性能优化等手段，降低系统故障率，确保各业务系统持续稳定运行；</w:t>
      </w:r>
    </w:p>
    <w:p w14:paraId="7CF032F7">
      <w:pPr>
        <w:spacing w:line="360" w:lineRule="auto"/>
        <w:ind w:firstLine="560" w:firstLineChars="200"/>
        <w:rPr>
          <w:rFonts w:hint="eastAsia" w:ascii="宋体" w:hAnsi="宋体" w:eastAsia="宋体" w:cs="宋体"/>
          <w:sz w:val="28"/>
          <w:szCs w:val="28"/>
          <w:lang w:val="en-US"/>
        </w:rPr>
      </w:pPr>
      <w:r>
        <w:rPr>
          <w:rFonts w:hint="eastAsia" w:ascii="宋体" w:hAnsi="宋体" w:eastAsia="宋体" w:cs="宋体"/>
          <w:sz w:val="28"/>
          <w:szCs w:val="28"/>
          <w:lang w:val="en-US"/>
        </w:rPr>
        <w:t>2.明确服务边界：清晰界定标准运维服务范围与非运维服务内容，避免服务范围模糊导致的争议与推诿；</w:t>
      </w:r>
    </w:p>
    <w:p w14:paraId="528896CF">
      <w:pPr>
        <w:spacing w:line="360" w:lineRule="auto"/>
        <w:ind w:firstLine="560" w:firstLineChars="200"/>
        <w:rPr>
          <w:rFonts w:hint="eastAsia" w:ascii="宋体" w:hAnsi="宋体" w:eastAsia="宋体" w:cs="宋体"/>
          <w:sz w:val="28"/>
          <w:szCs w:val="28"/>
          <w:lang w:val="en-US"/>
        </w:rPr>
      </w:pPr>
      <w:r>
        <w:rPr>
          <w:rFonts w:hint="eastAsia" w:ascii="宋体" w:hAnsi="宋体" w:eastAsia="宋体" w:cs="宋体"/>
          <w:sz w:val="28"/>
          <w:szCs w:val="28"/>
          <w:lang w:val="en-US"/>
        </w:rPr>
        <w:t>3.提升运维效率：优化运维流程，建立标准化问题台账与响应机制，缩短故障处理时长，提升整体运维管理水平；</w:t>
      </w:r>
    </w:p>
    <w:p w14:paraId="36E41542">
      <w:pPr>
        <w:spacing w:line="360" w:lineRule="auto"/>
        <w:ind w:firstLine="560" w:firstLineChars="200"/>
        <w:rPr>
          <w:rFonts w:hint="eastAsia" w:ascii="宋体" w:hAnsi="宋体" w:eastAsia="宋体" w:cs="宋体"/>
          <w:sz w:val="28"/>
          <w:szCs w:val="28"/>
          <w:lang w:val="en-US"/>
        </w:rPr>
      </w:pPr>
      <w:r>
        <w:rPr>
          <w:rFonts w:hint="eastAsia" w:ascii="宋体" w:hAnsi="宋体" w:eastAsia="宋体" w:cs="宋体"/>
          <w:sz w:val="28"/>
          <w:szCs w:val="28"/>
          <w:lang w:val="en-US"/>
        </w:rPr>
        <w:t>4.强化数据安全：通过数据库日常运维、备份管理、历史数据归档等措施，保障医院数据资产的安全性与完整性；</w:t>
      </w:r>
    </w:p>
    <w:p w14:paraId="3BDD083E">
      <w:pPr>
        <w:spacing w:line="360" w:lineRule="auto"/>
        <w:ind w:firstLine="560" w:firstLineChars="200"/>
        <w:rPr>
          <w:rFonts w:hint="eastAsia" w:ascii="宋体" w:hAnsi="宋体" w:eastAsia="宋体" w:cs="宋体"/>
          <w:sz w:val="28"/>
          <w:szCs w:val="28"/>
          <w:lang w:val="en-US"/>
        </w:rPr>
      </w:pPr>
      <w:r>
        <w:rPr>
          <w:rFonts w:hint="eastAsia" w:ascii="宋体" w:hAnsi="宋体" w:eastAsia="宋体" w:cs="宋体"/>
          <w:sz w:val="28"/>
          <w:szCs w:val="28"/>
          <w:lang w:val="en-US"/>
        </w:rPr>
        <w:t>5.支撑业务发展：为医院信息化建设提供可靠的技术支持与日常运营保障，推动医院信息化水平持续提升。</w:t>
      </w:r>
    </w:p>
    <w:p w14:paraId="687CD791">
      <w:pPr>
        <w:pStyle w:val="3"/>
        <w:numPr>
          <w:ilvl w:val="0"/>
          <w:numId w:val="2"/>
        </w:numPr>
        <w:spacing w:before="0" w:after="0"/>
        <w:rPr>
          <w:rFonts w:hint="eastAsia" w:ascii="宋体" w:hAnsi="宋体" w:eastAsia="宋体" w:cs="宋体"/>
        </w:rPr>
      </w:pPr>
      <w:r>
        <w:rPr>
          <w:rFonts w:hint="eastAsia" w:ascii="宋体" w:hAnsi="宋体" w:eastAsia="宋体" w:cs="宋体"/>
          <w:sz w:val="32"/>
          <w:szCs w:val="32"/>
          <w:lang w:val="en-US"/>
        </w:rPr>
        <w:t>项目内容</w:t>
      </w:r>
      <w:bookmarkStart w:id="0" w:name="_6.1.2、容器服务器"/>
      <w:bookmarkEnd w:id="0"/>
    </w:p>
    <w:p w14:paraId="507AE495">
      <w:pPr>
        <w:pStyle w:val="4"/>
        <w:rPr>
          <w:rFonts w:hint="eastAsia" w:ascii="宋体" w:hAnsi="宋体" w:eastAsia="宋体" w:cs="宋体"/>
          <w:sz w:val="30"/>
          <w:szCs w:val="30"/>
          <w:lang w:val="en-US"/>
        </w:rPr>
      </w:pPr>
      <w:r>
        <w:rPr>
          <w:rFonts w:hint="eastAsia" w:ascii="宋体" w:hAnsi="宋体" w:eastAsia="宋体" w:cs="宋体"/>
          <w:sz w:val="30"/>
          <w:szCs w:val="30"/>
          <w:lang w:val="en-US"/>
        </w:rPr>
        <w:t>3.1运维服务整体范围说明</w:t>
      </w:r>
    </w:p>
    <w:p w14:paraId="3A2BF080">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本项目运维服务范围分为标准运维包含服务与明确不包含服务两大部分，服务商须严格按照以下范围提供服务，超出标准运维范围的需求，院方将另行立项或单独采购。</w:t>
      </w:r>
    </w:p>
    <w:p w14:paraId="1E2CFA4E">
      <w:pPr>
        <w:pStyle w:val="5"/>
        <w:rPr>
          <w:rFonts w:hint="eastAsia" w:ascii="宋体" w:hAnsi="宋体" w:eastAsia="宋体" w:cs="宋体"/>
          <w:lang w:val="en-US"/>
        </w:rPr>
      </w:pPr>
      <w:r>
        <w:rPr>
          <w:rFonts w:hint="eastAsia" w:ascii="宋体" w:hAnsi="宋体" w:eastAsia="宋体" w:cs="宋体"/>
          <w:lang w:val="en-US"/>
        </w:rPr>
        <w:t>3.</w:t>
      </w:r>
      <w:r>
        <w:rPr>
          <w:rFonts w:hint="eastAsia" w:ascii="宋体" w:hAnsi="宋体" w:eastAsia="宋体" w:cs="宋体"/>
          <w:lang w:val="en-US" w:eastAsia="zh-CN"/>
        </w:rPr>
        <w:t>1</w:t>
      </w:r>
      <w:r>
        <w:rPr>
          <w:rFonts w:hint="eastAsia" w:ascii="宋体" w:hAnsi="宋体" w:eastAsia="宋体" w:cs="宋体"/>
          <w:lang w:val="en-US"/>
        </w:rPr>
        <w:t>.1标准运维包含服务</w:t>
      </w:r>
    </w:p>
    <w:p w14:paraId="204A6F39">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标准运维服务为合同范围内必须提供的基础服务，涵盖以下四大类：</w:t>
      </w:r>
    </w:p>
    <w:p w14:paraId="7EF63CA8">
      <w:pPr>
        <w:numPr>
          <w:ilvl w:val="0"/>
          <w:numId w:val="0"/>
        </w:numPr>
        <w:spacing w:line="360" w:lineRule="auto"/>
        <w:ind w:left="0"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（一）基础故障处置</w:t>
      </w:r>
    </w:p>
    <w:p w14:paraId="4DF7C1C2">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负责合同范围内全部系统的日常故障响应与处置，具体包括：</w:t>
      </w:r>
    </w:p>
    <w:p w14:paraId="181C11E7">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1.系统报错修复：对系统运行中出现的功能异常、程序报错等问题进行排查与修复；</w:t>
      </w:r>
    </w:p>
    <w:p w14:paraId="5DF5CA8F">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2.页面异常处理：对页面显示异常、布局错乱、按钮失效等前端问题进行处置；</w:t>
      </w:r>
    </w:p>
    <w:p w14:paraId="00B19FC1">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3.流程卡顿优化：对业务流程运行缓慢、卡顿、超时等性能问题进行排查与优化；</w:t>
      </w:r>
    </w:p>
    <w:p w14:paraId="1514BF0F">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4.账号权限配置：负责用户账号开通、注销、密码重置、角色权限分配与调整；</w:t>
      </w:r>
    </w:p>
    <w:p w14:paraId="4C20849B">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5.基础参数调整：对系统基础配置参数、字典项、业务规则等进行小幅调整。</w:t>
      </w:r>
    </w:p>
    <w:p w14:paraId="0DFCC3B7">
      <w:pPr>
        <w:numPr>
          <w:ilvl w:val="0"/>
          <w:numId w:val="0"/>
        </w:numPr>
        <w:spacing w:line="360" w:lineRule="auto"/>
        <w:ind w:left="0"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（二）常规优化微调</w:t>
      </w:r>
    </w:p>
    <w:p w14:paraId="3C3E5418">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在不改变系统核心架构与主体功能的前提下，对现有系统进行小幅适配与优化，具体包括：</w:t>
      </w:r>
    </w:p>
    <w:p w14:paraId="7FB94B62">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1.现有功能小幅适配：对已有功能进行参数调整、流程优化、界面微调等小幅适配工作；</w:t>
      </w:r>
    </w:p>
    <w:p w14:paraId="20220351">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2.院内现有系统间接口联调：对院内已上线系统之间的既有接口进行维护、联调与问题排查，保障接口稳定运行；</w:t>
      </w:r>
    </w:p>
    <w:p w14:paraId="4C6EA777">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3.基础报表模板修改：对已有报表的字段、格式、排序、筛选条件等进行修改调整。</w:t>
      </w:r>
    </w:p>
    <w:p w14:paraId="4CFA1CD6">
      <w:pPr>
        <w:numPr>
          <w:ilvl w:val="0"/>
          <w:numId w:val="0"/>
        </w:numPr>
        <w:spacing w:line="360" w:lineRule="auto"/>
        <w:ind w:left="0"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（三）数据库运维</w:t>
      </w:r>
    </w:p>
    <w:p w14:paraId="772C65A4">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负责合同范围内系统对应数据库的日常运维管理，具体包括：</w:t>
      </w:r>
    </w:p>
    <w:p w14:paraId="11BC503A">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1.日常备份：制定并执行数据库备份策略，定期完成全量备份与增量备份，确保数据可恢复；</w:t>
      </w:r>
    </w:p>
    <w:p w14:paraId="6965B824">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2.日志清理：定期清理数据库日志文件，释放存储空间，保障数据库正常运行；</w:t>
      </w:r>
    </w:p>
    <w:p w14:paraId="4705AD2C">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3.性能巡检：定期对数据库运行状态、性能指标进行巡检，出具巡检报告，针对性能瓶颈提出优化方案并实施；</w:t>
      </w:r>
    </w:p>
    <w:p w14:paraId="2F6B5955">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4.基础数据纠错：对因误操作等原因导致的基础数据错误进行排查与修正；</w:t>
      </w:r>
    </w:p>
    <w:p w14:paraId="335CBFB2">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5.历史数据归档：按照院方要求，对历史数据进行归档处理，保障数据库运行效率。</w:t>
      </w:r>
    </w:p>
    <w:p w14:paraId="5DF8D4D7">
      <w:pPr>
        <w:numPr>
          <w:ilvl w:val="0"/>
          <w:numId w:val="0"/>
        </w:numPr>
        <w:spacing w:line="360" w:lineRule="auto"/>
        <w:ind w:left="0"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（四）日常支撑服务</w:t>
      </w:r>
    </w:p>
    <w:p w14:paraId="5A15C57D">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为业务科室与系统用户提供全方位日常运营支撑，具体包括：</w:t>
      </w:r>
    </w:p>
    <w:p w14:paraId="1EDFA37C">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1.需求对接：负责对接各业务科室提出的运维类需求，进行需求评估、分类与反馈；</w:t>
      </w:r>
    </w:p>
    <w:p w14:paraId="66D3B739">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2. 问题台账管理：建立统一的运维问题台账，对所有故障、需求、处理过程、结果进行全流程记录与跟踪，确保可追溯；</w:t>
      </w:r>
    </w:p>
    <w:p w14:paraId="37CB521A">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3.季度运维巡检：每季度对全部运维系统进行一次全面巡检，出具巡检报告，针对发现的问题与潜在风险提出解决方案并跟进落实；</w:t>
      </w:r>
    </w:p>
    <w:p w14:paraId="1C407C2C">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4.操作培训：为新入职员工、新上线功能提供系统操作培训与指导，定期组织操作培训与答疑；</w:t>
      </w:r>
    </w:p>
    <w:p w14:paraId="7773CA0F">
      <w:pPr>
        <w:numPr>
          <w:ilvl w:val="0"/>
          <w:numId w:val="0"/>
        </w:numPr>
        <w:spacing w:line="360" w:lineRule="auto"/>
        <w:ind w:left="0" w:firstLine="560" w:firstLineChars="200"/>
        <w:rPr>
          <w:rFonts w:hint="eastAsia" w:ascii="宋体" w:hAnsi="宋体" w:eastAsia="宋体" w:cs="宋体"/>
          <w:szCs w:val="21"/>
          <w:highlight w:val="none"/>
        </w:rPr>
      </w:pPr>
      <w:r>
        <w:rPr>
          <w:rFonts w:hint="eastAsia" w:ascii="宋体" w:hAnsi="宋体" w:eastAsia="宋体" w:cs="宋体"/>
          <w:sz w:val="28"/>
          <w:szCs w:val="28"/>
          <w:highlight w:val="none"/>
        </w:rPr>
        <w:t>5.项目日常协调：负责运维相关的日常沟通、协调工作，配合院方完成信息系统评审、检查、审计等相关工作。</w:t>
      </w:r>
    </w:p>
    <w:p w14:paraId="049E1CD6">
      <w:pPr>
        <w:pStyle w:val="5"/>
        <w:rPr>
          <w:rFonts w:hint="eastAsia" w:ascii="宋体" w:hAnsi="宋体" w:eastAsia="宋体" w:cs="宋体"/>
          <w:lang w:val="en-US"/>
        </w:rPr>
      </w:pPr>
      <w:r>
        <w:rPr>
          <w:rFonts w:hint="eastAsia" w:ascii="宋体" w:hAnsi="宋体" w:eastAsia="宋体" w:cs="宋体"/>
          <w:lang w:val="en-US"/>
        </w:rPr>
        <w:t>3.</w:t>
      </w:r>
      <w:r>
        <w:rPr>
          <w:rFonts w:hint="eastAsia" w:ascii="宋体" w:hAnsi="宋体" w:eastAsia="宋体" w:cs="宋体"/>
          <w:lang w:val="en-US" w:eastAsia="zh-CN"/>
        </w:rPr>
        <w:t>1</w:t>
      </w:r>
      <w:r>
        <w:rPr>
          <w:rFonts w:hint="eastAsia" w:ascii="宋体" w:hAnsi="宋体" w:eastAsia="宋体" w:cs="宋体"/>
          <w:lang w:val="en-US"/>
        </w:rPr>
        <w:t>.2本运维项目明确不包含服务</w:t>
      </w:r>
    </w:p>
    <w:p w14:paraId="52CE32AC">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以下内容不属于本项目标准运维服务范围，如需实施须由院方另行立项、单独采购或签订补充协议：</w:t>
      </w:r>
    </w:p>
    <w:p w14:paraId="1F620CA1">
      <w:pPr>
        <w:numPr>
          <w:ilvl w:val="0"/>
          <w:numId w:val="0"/>
        </w:numPr>
        <w:spacing w:line="360" w:lineRule="auto"/>
        <w:ind w:left="0" w:firstLine="560" w:firstLineChars="20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1.各类新增需求开发、系统整体版本升级、架构重构、信创改造</w:t>
      </w:r>
      <w:r>
        <w:rPr>
          <w:rFonts w:hint="eastAsia" w:ascii="宋体" w:hAnsi="宋体" w:cs="宋体"/>
          <w:sz w:val="28"/>
          <w:szCs w:val="28"/>
          <w:highlight w:val="none"/>
          <w:lang w:eastAsia="zh-CN"/>
        </w:rPr>
        <w:t>。</w:t>
      </w:r>
      <w:bookmarkStart w:id="1" w:name="_GoBack"/>
      <w:bookmarkEnd w:id="1"/>
    </w:p>
    <w:p w14:paraId="5BCF3EED">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包括但不限于：全新功能模块开发、系统主体功能重大调整、系统整体版本升级、系统技术架构重构、信创适配改造等。</w:t>
      </w:r>
    </w:p>
    <w:p w14:paraId="67865048">
      <w:pPr>
        <w:numPr>
          <w:ilvl w:val="0"/>
          <w:numId w:val="0"/>
        </w:numPr>
        <w:spacing w:line="360" w:lineRule="auto"/>
        <w:ind w:left="0" w:firstLine="560" w:firstLineChars="20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2.定制化数据挖掘、专项大数据分析、全新统计报表开发</w:t>
      </w:r>
      <w:r>
        <w:rPr>
          <w:rFonts w:hint="eastAsia" w:ascii="宋体" w:hAnsi="宋体" w:cs="宋体"/>
          <w:sz w:val="28"/>
          <w:szCs w:val="28"/>
          <w:highlight w:val="none"/>
          <w:lang w:eastAsia="zh-CN"/>
        </w:rPr>
        <w:t>。</w:t>
      </w:r>
    </w:p>
    <w:p w14:paraId="3CC7BA1E">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包括但不限于：定制化数据挖掘项目、专项大数据分析课题、全新统计报表从零开发、数据可视化大屏开发等。</w:t>
      </w:r>
    </w:p>
    <w:p w14:paraId="08399567">
      <w:pPr>
        <w:numPr>
          <w:ilvl w:val="0"/>
          <w:numId w:val="0"/>
        </w:numPr>
        <w:spacing w:line="360" w:lineRule="auto"/>
        <w:ind w:left="0" w:firstLine="560" w:firstLineChars="20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3.第三方外部平台对接开发、外部监管系统新增接口实施</w:t>
      </w:r>
      <w:r>
        <w:rPr>
          <w:rFonts w:hint="eastAsia" w:ascii="宋体" w:hAnsi="宋体" w:cs="宋体"/>
          <w:sz w:val="28"/>
          <w:szCs w:val="28"/>
          <w:highlight w:val="none"/>
          <w:lang w:eastAsia="zh-CN"/>
        </w:rPr>
        <w:t>。</w:t>
      </w:r>
    </w:p>
    <w:p w14:paraId="3524919A">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包括但不限于：与院外第三方平台的新增接口开发、上级监管部门新增系统对接、外部数据平台接入开发等。</w:t>
      </w:r>
    </w:p>
    <w:p w14:paraId="318FA7D4">
      <w:pPr>
        <w:numPr>
          <w:ilvl w:val="0"/>
          <w:numId w:val="0"/>
        </w:numPr>
        <w:spacing w:line="360" w:lineRule="auto"/>
        <w:ind w:left="0" w:firstLine="560" w:firstLineChars="20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4.硬件设备采购、硬件维修、硬件扩容、终端更换</w:t>
      </w:r>
      <w:r>
        <w:rPr>
          <w:rFonts w:hint="eastAsia" w:ascii="宋体" w:hAnsi="宋体" w:cs="宋体"/>
          <w:sz w:val="28"/>
          <w:szCs w:val="28"/>
          <w:highlight w:val="none"/>
          <w:lang w:eastAsia="zh-CN"/>
        </w:rPr>
        <w:t>。</w:t>
      </w:r>
    </w:p>
    <w:p w14:paraId="03897C4F">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包括但不限于：服务器、存储、网络设备等硬件采购与维修，硬件扩容升级，终端电脑、打印机等设备更换等。</w:t>
      </w:r>
    </w:p>
    <w:p w14:paraId="2FA3F374">
      <w:pPr>
        <w:numPr>
          <w:ilvl w:val="0"/>
          <w:numId w:val="0"/>
        </w:numPr>
        <w:spacing w:line="360" w:lineRule="auto"/>
        <w:ind w:left="0" w:firstLine="560" w:firstLineChars="20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5.因科室业务频繁变更产生的大规模、高频次流程重构</w:t>
      </w:r>
      <w:r>
        <w:rPr>
          <w:rFonts w:hint="eastAsia" w:ascii="宋体" w:hAnsi="宋体" w:cs="宋体"/>
          <w:sz w:val="28"/>
          <w:szCs w:val="28"/>
          <w:highlight w:val="none"/>
          <w:lang w:eastAsia="zh-CN"/>
        </w:rPr>
        <w:t>。</w:t>
      </w:r>
    </w:p>
    <w:p w14:paraId="340C0DBB">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包括但不限于：因业务模式重大调整导致的系统流程全面重构、短时间内高频次大规模流程调整等。</w:t>
      </w:r>
    </w:p>
    <w:p w14:paraId="1A9B0C9E">
      <w:pPr>
        <w:numPr>
          <w:ilvl w:val="0"/>
          <w:numId w:val="0"/>
        </w:numPr>
        <w:spacing w:line="360" w:lineRule="auto"/>
        <w:ind w:left="0" w:firstLine="560" w:firstLineChars="20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6.上级单位临时新增专项填报系统、独立专项改造工程</w:t>
      </w:r>
      <w:r>
        <w:rPr>
          <w:rFonts w:hint="eastAsia" w:ascii="宋体" w:hAnsi="宋体" w:cs="宋体"/>
          <w:sz w:val="28"/>
          <w:szCs w:val="28"/>
          <w:highlight w:val="none"/>
          <w:lang w:eastAsia="zh-CN"/>
        </w:rPr>
        <w:t>。</w:t>
      </w:r>
    </w:p>
    <w:p w14:paraId="142BF617">
      <w:pPr>
        <w:numPr>
          <w:ilvl w:val="0"/>
          <w:numId w:val="0"/>
        </w:numPr>
        <w:spacing w:line="360" w:lineRule="auto"/>
        <w:ind w:lef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包括但不限于：上级单位临时要求建设的专项填报系统、独立的专项改造工程项目等。</w:t>
      </w:r>
    </w:p>
    <w:p w14:paraId="65D7B8F7">
      <w:pPr>
        <w:pStyle w:val="5"/>
        <w:rPr>
          <w:rFonts w:hint="eastAsia" w:ascii="宋体" w:hAnsi="宋体" w:eastAsia="宋体" w:cs="宋体"/>
          <w:lang w:val="en-US"/>
        </w:rPr>
      </w:pPr>
      <w:r>
        <w:rPr>
          <w:rFonts w:hint="eastAsia" w:ascii="宋体" w:hAnsi="宋体" w:eastAsia="宋体" w:cs="宋体"/>
          <w:lang w:val="en-US"/>
        </w:rPr>
        <w:t>3.2 驻场运维服务要求</w:t>
      </w:r>
    </w:p>
    <w:p w14:paraId="621205E6">
      <w:pPr>
        <w:pStyle w:val="5"/>
        <w:rPr>
          <w:rFonts w:hint="eastAsia" w:ascii="宋体" w:hAnsi="宋体" w:eastAsia="宋体" w:cs="宋体"/>
          <w:lang w:val="en-US"/>
        </w:rPr>
      </w:pPr>
      <w:r>
        <w:rPr>
          <w:rFonts w:hint="eastAsia" w:ascii="宋体" w:hAnsi="宋体" w:eastAsia="宋体" w:cs="宋体"/>
          <w:lang w:val="en-US"/>
        </w:rPr>
        <w:t>3.2.1 人员配置要求</w:t>
      </w:r>
    </w:p>
    <w:p w14:paraId="0267C9A7">
      <w:pPr>
        <w:numPr>
          <w:ilvl w:val="0"/>
          <w:numId w:val="0"/>
        </w:numPr>
        <w:spacing w:line="360" w:lineRule="auto"/>
        <w:ind w:left="0"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在服务周期内，服务商须安排不少于</w:t>
      </w:r>
      <w:r>
        <w:rPr>
          <w:rFonts w:hint="eastAsia" w:ascii="宋体" w:hAnsi="宋体" w:cs="宋体"/>
          <w:sz w:val="28"/>
          <w:szCs w:val="28"/>
          <w:highlight w:val="none"/>
          <w:lang w:val="en-US" w:eastAsia="zh-CN"/>
        </w:rPr>
        <w:t>1</w:t>
      </w:r>
      <w:r>
        <w:rPr>
          <w:rFonts w:hint="eastAsia" w:ascii="宋体" w:hAnsi="宋体" w:eastAsia="宋体" w:cs="宋体"/>
          <w:sz w:val="28"/>
          <w:szCs w:val="28"/>
          <w:highlight w:val="none"/>
          <w:lang w:val="en-US" w:eastAsia="zh-CN"/>
        </w:rPr>
        <w:t>名项目经理及不少于</w:t>
      </w:r>
      <w:r>
        <w:rPr>
          <w:rFonts w:hint="eastAsia" w:ascii="宋体" w:hAnsi="宋体" w:cs="宋体"/>
          <w:sz w:val="28"/>
          <w:szCs w:val="28"/>
          <w:highlight w:val="none"/>
          <w:lang w:val="en-US" w:eastAsia="zh-CN"/>
        </w:rPr>
        <w:t>3</w:t>
      </w:r>
      <w:r>
        <w:rPr>
          <w:rFonts w:hint="eastAsia" w:ascii="宋体" w:hAnsi="宋体" w:eastAsia="宋体" w:cs="宋体"/>
          <w:sz w:val="28"/>
          <w:szCs w:val="28"/>
          <w:highlight w:val="none"/>
          <w:lang w:val="en-US" w:eastAsia="zh-CN"/>
        </w:rPr>
        <w:t>名技术工程师长期驻场，对合同范围内各业务系统提供日常技术服务管理与技术支持工作。</w:t>
      </w:r>
    </w:p>
    <w:p w14:paraId="50B586B5">
      <w:pPr>
        <w:numPr>
          <w:ilvl w:val="0"/>
          <w:numId w:val="0"/>
        </w:numPr>
        <w:spacing w:line="360" w:lineRule="auto"/>
        <w:ind w:left="0"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针对重点业务系统，服务商须协调原厂提供维保技术支持，确保服务质量与问题处理效率。</w:t>
      </w:r>
    </w:p>
    <w:p w14:paraId="75EE7571">
      <w:pPr>
        <w:pStyle w:val="5"/>
        <w:rPr>
          <w:rFonts w:hint="eastAsia" w:ascii="宋体" w:hAnsi="宋体" w:eastAsia="宋体" w:cs="宋体"/>
          <w:lang w:val="en-US"/>
        </w:rPr>
      </w:pPr>
      <w:r>
        <w:rPr>
          <w:rFonts w:hint="eastAsia" w:ascii="宋体" w:hAnsi="宋体" w:eastAsia="宋体" w:cs="宋体"/>
          <w:lang w:val="en-US"/>
        </w:rPr>
        <w:t>3.2.</w:t>
      </w:r>
      <w:r>
        <w:rPr>
          <w:rFonts w:hint="eastAsia" w:ascii="宋体" w:hAnsi="宋体" w:cs="宋体"/>
          <w:lang w:val="en-US" w:eastAsia="zh-CN"/>
        </w:rPr>
        <w:t>2</w:t>
      </w:r>
      <w:r>
        <w:rPr>
          <w:rFonts w:hint="eastAsia" w:ascii="宋体" w:hAnsi="宋体" w:eastAsia="宋体" w:cs="宋体"/>
        </w:rPr>
        <w:t>驻场服务内容</w:t>
      </w:r>
    </w:p>
    <w:p w14:paraId="0C12EE68">
      <w:pPr>
        <w:numPr>
          <w:ilvl w:val="0"/>
          <w:numId w:val="3"/>
        </w:numPr>
        <w:tabs>
          <w:tab w:val="left" w:pos="0"/>
          <w:tab w:val="left" w:pos="210"/>
          <w:tab w:val="left" w:pos="567"/>
        </w:tabs>
        <w:spacing w:line="36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日常服务：定期分析与处理业务系统的问题和潜在风险；对系统及其数据进行常规维护；对业务系统进行优化调整；实施系统与数据安全策略；确保系统现有接口的稳定运行；配合完成信息系统评审工作；为用户提供系统操作指引和培训。</w:t>
      </w:r>
    </w:p>
    <w:p w14:paraId="76CC999A">
      <w:pPr>
        <w:numPr>
          <w:ilvl w:val="0"/>
          <w:numId w:val="3"/>
        </w:numPr>
        <w:tabs>
          <w:tab w:val="left" w:pos="0"/>
          <w:tab w:val="left" w:pos="210"/>
          <w:tab w:val="left" w:pos="567"/>
        </w:tabs>
        <w:spacing w:line="36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稳定运行保障：制定和调整系统检查及维护方案，确保系统功能的完整性和正确性；保障系统的高效、稳定运行，使其能够承受日益增长的业务和数据压力。</w:t>
      </w:r>
    </w:p>
    <w:p w14:paraId="39996DE5">
      <w:pPr>
        <w:numPr>
          <w:ilvl w:val="0"/>
          <w:numId w:val="3"/>
        </w:numPr>
        <w:tabs>
          <w:tab w:val="left" w:pos="0"/>
          <w:tab w:val="left" w:pos="210"/>
          <w:tab w:val="left" w:pos="567"/>
        </w:tabs>
        <w:spacing w:line="36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系统错误修复：对于系统一般性错误，承诺在</w:t>
      </w:r>
      <w:r>
        <w:rPr>
          <w:rFonts w:hint="eastAsia" w:ascii="宋体" w:hAnsi="宋体" w:cs="宋体"/>
          <w:sz w:val="28"/>
          <w:szCs w:val="28"/>
          <w:lang w:val="en-US" w:eastAsia="zh-CN"/>
        </w:rPr>
        <w:t>2</w:t>
      </w:r>
      <w:r>
        <w:rPr>
          <w:rFonts w:hint="eastAsia" w:ascii="宋体" w:hAnsi="宋体" w:eastAsia="宋体" w:cs="宋体"/>
          <w:sz w:val="28"/>
          <w:szCs w:val="28"/>
        </w:rPr>
        <w:t>小时内完成修复；重大故障须在规定时间内恢复系统基本运行。</w:t>
      </w:r>
    </w:p>
    <w:p w14:paraId="6071FEB9">
      <w:pPr>
        <w:numPr>
          <w:ilvl w:val="0"/>
          <w:numId w:val="3"/>
        </w:numPr>
        <w:tabs>
          <w:tab w:val="left" w:pos="0"/>
          <w:tab w:val="left" w:pos="210"/>
          <w:tab w:val="left" w:pos="567"/>
        </w:tabs>
        <w:spacing w:line="36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系统数据修复：对于因用户误操作等原因导致的数据错误，在</w:t>
      </w:r>
      <w:r>
        <w:rPr>
          <w:rFonts w:hint="eastAsia" w:ascii="宋体" w:hAnsi="宋体" w:cs="宋体"/>
          <w:sz w:val="28"/>
          <w:szCs w:val="28"/>
          <w:lang w:val="en-US" w:eastAsia="zh-CN"/>
        </w:rPr>
        <w:t>5</w:t>
      </w:r>
      <w:r>
        <w:rPr>
          <w:rFonts w:hint="eastAsia" w:ascii="宋体" w:hAnsi="宋体" w:eastAsia="宋体" w:cs="宋体"/>
          <w:sz w:val="28"/>
          <w:szCs w:val="28"/>
        </w:rPr>
        <w:t>个工作日内查明原因并完成数据修复。</w:t>
      </w:r>
    </w:p>
    <w:p w14:paraId="57F241EE">
      <w:pPr>
        <w:numPr>
          <w:ilvl w:val="0"/>
          <w:numId w:val="3"/>
        </w:numPr>
        <w:tabs>
          <w:tab w:val="left" w:pos="0"/>
          <w:tab w:val="left" w:pos="210"/>
          <w:tab w:val="left" w:pos="567"/>
        </w:tabs>
        <w:spacing w:line="36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实施培训：负责因运维范围内功能调整而产生的人员培训工作。</w:t>
      </w:r>
    </w:p>
    <w:p w14:paraId="0D3BA4CB">
      <w:pPr>
        <w:pStyle w:val="5"/>
        <w:rPr>
          <w:rFonts w:hint="eastAsia" w:ascii="宋体" w:hAnsi="宋体" w:eastAsia="宋体" w:cs="宋体"/>
          <w:lang w:val="en-US"/>
        </w:rPr>
      </w:pPr>
      <w:r>
        <w:rPr>
          <w:rFonts w:hint="eastAsia" w:ascii="宋体" w:hAnsi="宋体" w:eastAsia="宋体" w:cs="宋体"/>
          <w:lang w:val="en-US"/>
        </w:rPr>
        <w:t>3.3 服务方式与要求</w:t>
      </w:r>
    </w:p>
    <w:p w14:paraId="4A3C37C4">
      <w:pPr>
        <w:pStyle w:val="5"/>
        <w:rPr>
          <w:rFonts w:hint="eastAsia" w:ascii="宋体" w:hAnsi="宋体" w:eastAsia="宋体" w:cs="宋体"/>
          <w:lang w:val="en-US"/>
        </w:rPr>
      </w:pPr>
      <w:r>
        <w:rPr>
          <w:rFonts w:hint="eastAsia" w:ascii="宋体" w:hAnsi="宋体" w:eastAsia="宋体" w:cs="宋体"/>
          <w:lang w:val="en-US"/>
        </w:rPr>
        <w:t>3.3.1 服务方式</w:t>
      </w:r>
    </w:p>
    <w:p w14:paraId="3FFF6651">
      <w:pPr>
        <w:pStyle w:val="2"/>
        <w:numPr>
          <w:ilvl w:val="0"/>
          <w:numId w:val="4"/>
        </w:numPr>
        <w:ind w:left="0" w:leftChars="0"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服务商成立专门的项目组开展工作，指派专人负责，按时完成工作内容；</w:t>
      </w:r>
    </w:p>
    <w:p w14:paraId="64443645">
      <w:pPr>
        <w:pStyle w:val="2"/>
        <w:numPr>
          <w:ilvl w:val="0"/>
          <w:numId w:val="4"/>
        </w:numPr>
        <w:ind w:left="0" w:leftChars="0"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以现场驻场服务为主，辅以电话指导、邮件沟通、远程维护、技术交流等多种方式。</w:t>
      </w:r>
    </w:p>
    <w:p w14:paraId="2DFBBFB7">
      <w:pPr>
        <w:pStyle w:val="5"/>
        <w:rPr>
          <w:rFonts w:hint="eastAsia" w:ascii="宋体" w:hAnsi="宋体" w:eastAsia="宋体" w:cs="宋体"/>
          <w:lang w:val="en-US"/>
        </w:rPr>
      </w:pPr>
      <w:r>
        <w:rPr>
          <w:rFonts w:hint="eastAsia" w:ascii="宋体" w:hAnsi="宋体" w:eastAsia="宋体" w:cs="宋体"/>
          <w:lang w:val="en-US"/>
        </w:rPr>
        <w:t>3.3.2 服务周期</w:t>
      </w:r>
    </w:p>
    <w:p w14:paraId="6041BDEE">
      <w:pPr>
        <w:pStyle w:val="2"/>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合同生效起12个月内。</w:t>
      </w:r>
    </w:p>
    <w:p w14:paraId="7A32ACDD">
      <w:pPr>
        <w:pStyle w:val="5"/>
        <w:rPr>
          <w:rFonts w:hint="eastAsia" w:ascii="宋体" w:hAnsi="宋体" w:eastAsia="宋体" w:cs="宋体"/>
          <w:lang w:val="en-US"/>
        </w:rPr>
      </w:pPr>
      <w:r>
        <w:rPr>
          <w:rFonts w:hint="eastAsia" w:ascii="宋体" w:hAnsi="宋体" w:eastAsia="宋体" w:cs="宋体"/>
          <w:lang w:val="en-US"/>
        </w:rPr>
        <w:t>3.3.3 服务响应要求</w:t>
      </w:r>
    </w:p>
    <w:p w14:paraId="521B9D62">
      <w:pPr>
        <w:pStyle w:val="2"/>
        <w:rPr>
          <w:rFonts w:hint="eastAsia" w:ascii="宋体" w:hAnsi="宋体" w:eastAsia="宋体" w:cs="宋体"/>
          <w:b/>
          <w:bCs/>
          <w:sz w:val="28"/>
          <w:szCs w:val="28"/>
        </w:rPr>
      </w:pPr>
      <w:r>
        <w:rPr>
          <w:rFonts w:hint="eastAsia"/>
          <w:b/>
          <w:bCs/>
        </w:rPr>
        <w:t xml:space="preserve"> </w:t>
      </w:r>
      <w:r>
        <w:rPr>
          <w:rFonts w:hint="eastAsia" w:ascii="宋体" w:hAnsi="宋体" w:eastAsia="宋体" w:cs="宋体"/>
          <w:b/>
          <w:bCs/>
          <w:sz w:val="28"/>
          <w:szCs w:val="28"/>
        </w:rPr>
        <w:t>（1）日常维护响应</w:t>
      </w:r>
    </w:p>
    <w:p w14:paraId="4CC2F969">
      <w:pPr>
        <w:numPr>
          <w:ilvl w:val="0"/>
          <w:numId w:val="5"/>
        </w:numPr>
        <w:spacing w:line="360" w:lineRule="auto"/>
        <w:ind w:left="0" w:leftChars="0"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工作期间（正常工作日8:00-18:00），信息系统故障响应时间不超过0.5小时，到达现场时间不超过1小时；</w:t>
      </w:r>
    </w:p>
    <w:p w14:paraId="70FC0B58">
      <w:pPr>
        <w:numPr>
          <w:ilvl w:val="0"/>
          <w:numId w:val="5"/>
        </w:numPr>
        <w:spacing w:line="360" w:lineRule="auto"/>
        <w:ind w:left="0" w:leftChars="0"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非工作期间，信息系统故障响应时间不超过1小时，到达现场时间不超过2小时；</w:t>
      </w:r>
    </w:p>
    <w:p w14:paraId="65B59CE0">
      <w:pPr>
        <w:numPr>
          <w:ilvl w:val="0"/>
          <w:numId w:val="5"/>
        </w:numPr>
        <w:spacing w:line="360" w:lineRule="auto"/>
        <w:ind w:left="0" w:leftChars="0"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服务商应提出故障解决方案，工作至故障修妥完全恢复正常服务为止，一般故障修复时间不超过2个工作日。</w:t>
      </w:r>
    </w:p>
    <w:p w14:paraId="7AA44842">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
          <w:bCs/>
          <w:sz w:val="28"/>
          <w:szCs w:val="28"/>
        </w:rPr>
        <w:t>（2）服务商无推诿承诺</w:t>
      </w:r>
    </w:p>
    <w:p w14:paraId="7562123F">
      <w:pPr>
        <w:numPr>
          <w:ilvl w:val="0"/>
          <w:numId w:val="0"/>
        </w:numPr>
        <w:spacing w:line="360" w:lineRule="auto"/>
        <w:ind w:left="0"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服务商在收到院方报修通知及要求后，须立即派技术人员到场，全力协助，使系统尽快恢复正常，不得以“不属于运维范围”为由推诿拒绝。对于确属非运维范围的事项，服务商须先协助恢复系统基本运行，再书面向院方说明情况并提出另行处理建议，不得因范围争议影响业务正常开展。</w:t>
      </w:r>
    </w:p>
    <w:p w14:paraId="4E075C20">
      <w:pPr>
        <w:pStyle w:val="5"/>
        <w:rPr>
          <w:rFonts w:hint="eastAsia" w:ascii="宋体" w:hAnsi="宋体" w:eastAsia="宋体" w:cs="宋体"/>
          <w:lang w:val="en-US"/>
        </w:rPr>
      </w:pPr>
      <w:r>
        <w:rPr>
          <w:rFonts w:hint="eastAsia" w:ascii="宋体" w:hAnsi="宋体" w:eastAsia="宋体" w:cs="宋体"/>
          <w:lang w:val="en-US"/>
        </w:rPr>
        <w:t>3.3.4 系统维护工作要求</w:t>
      </w:r>
    </w:p>
    <w:p w14:paraId="707B0829">
      <w:pPr>
        <w:numPr>
          <w:ilvl w:val="0"/>
          <w:numId w:val="6"/>
        </w:numPr>
        <w:spacing w:line="360" w:lineRule="auto"/>
        <w:ind w:left="0" w:leftChars="0"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服务商须有完整的维护记录管理，确保所有问题提出及处理有记录，有供双方共同记录反馈的简捷操作方式，达到经双方确认真实可信、可跟踪问题解决情况、查询所有维护记录，并可作为验收依据。</w:t>
      </w:r>
    </w:p>
    <w:p w14:paraId="210D86CE">
      <w:pPr>
        <w:numPr>
          <w:ilvl w:val="0"/>
          <w:numId w:val="6"/>
        </w:numPr>
        <w:spacing w:line="360" w:lineRule="auto"/>
        <w:ind w:left="0" w:leftChars="0"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服务商需根据院方要求，安排维护人员使用院方项目管理平台系统中的需求管理模块和缺陷（报障）管理模块，接收院方相关报障及需求信息，并反馈相应处理信息，该维护记录可作为维保履约证明。</w:t>
      </w:r>
    </w:p>
    <w:p w14:paraId="564F1A23">
      <w:pPr>
        <w:numPr>
          <w:ilvl w:val="0"/>
          <w:numId w:val="6"/>
        </w:numPr>
        <w:spacing w:line="360" w:lineRule="auto"/>
        <w:ind w:left="0" w:leftChars="0"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定期（每季度）进行系统巡检，对系统运行的软硬件情况（尤其是数据库环境）进行监控，并出具巡检报告，针对潜在的风险应提供解决方案并实施。</w:t>
      </w:r>
    </w:p>
    <w:p w14:paraId="3B754C3A">
      <w:pPr>
        <w:numPr>
          <w:ilvl w:val="0"/>
          <w:numId w:val="6"/>
        </w:numPr>
        <w:spacing w:line="360" w:lineRule="auto"/>
        <w:ind w:left="0" w:leftChars="0"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提供二线技术支持服务。在服务周期内，发生重大系统故障问题，则组织和安排各业务系统原厂商的技术专家或自身技术专家到现场为系统故障提供技术支援，缩短业务系统故障中断时间，最大限度减少对业务科室业务工作的影响。</w:t>
      </w:r>
    </w:p>
    <w:p w14:paraId="7188A3B9">
      <w:pPr>
        <w:numPr>
          <w:ilvl w:val="0"/>
          <w:numId w:val="6"/>
        </w:numPr>
        <w:spacing w:line="360" w:lineRule="auto"/>
        <w:ind w:left="0" w:leftChars="0"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由项目经理每季度对各种服务流程（包括总体服务流程、故障受理流程、问题管理流程、变更管理流程等）的执行情况进行检查和分析，对服务过程中存在的问题进行汇总分析，制定可行的优化计划；同时，向用户部门展开服务质量、满意度的调研和沟通，认真听取用户部门意见；形成服务报告后向信息管理部门汇报，商讨服务改进计划。持续执行和优化，形成优质服务模式。</w:t>
      </w:r>
    </w:p>
    <w:p w14:paraId="6CCC7092">
      <w:pPr>
        <w:numPr>
          <w:ilvl w:val="0"/>
          <w:numId w:val="6"/>
        </w:numPr>
        <w:spacing w:line="360" w:lineRule="auto"/>
        <w:ind w:left="0" w:leftChars="0"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提供运营数据统计及分析支持服务。运维服务最终目标除了提高服务质量、提升医护满意度外，还为院方运营提供数据支持，如业务系统的运行停顿时间及对业务收入的影响分析等。</w:t>
      </w:r>
    </w:p>
    <w:p w14:paraId="71CEE811">
      <w:pPr>
        <w:pStyle w:val="2"/>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3.3.5 服务验收</w:t>
      </w:r>
    </w:p>
    <w:p w14:paraId="76EC5AE4">
      <w:pPr>
        <w:numPr>
          <w:ilvl w:val="0"/>
          <w:numId w:val="7"/>
        </w:numPr>
        <w:tabs>
          <w:tab w:val="left" w:pos="0"/>
          <w:tab w:val="left" w:pos="210"/>
          <w:tab w:val="left" w:pos="567"/>
        </w:tabs>
        <w:spacing w:line="360" w:lineRule="auto"/>
        <w:ind w:firstLine="420" w:firstLineChars="0"/>
        <w:rPr>
          <w:rFonts w:hint="eastAsia" w:ascii="宋体" w:hAnsi="宋体" w:eastAsia="宋体" w:cs="宋体"/>
          <w:sz w:val="28"/>
          <w:szCs w:val="28"/>
        </w:rPr>
      </w:pPr>
      <w:r>
        <w:rPr>
          <w:rFonts w:hint="eastAsia" w:ascii="宋体" w:hAnsi="宋体" w:eastAsia="宋体" w:cs="宋体"/>
          <w:sz w:val="28"/>
          <w:szCs w:val="28"/>
        </w:rPr>
        <w:t>验收时间：由服务商向院方申请验收，合同到期后</w:t>
      </w:r>
      <w:r>
        <w:rPr>
          <w:rFonts w:hint="eastAsia" w:ascii="宋体" w:hAnsi="宋体" w:cs="宋体"/>
          <w:sz w:val="28"/>
          <w:szCs w:val="28"/>
          <w:lang w:val="en-US" w:eastAsia="zh-CN"/>
        </w:rPr>
        <w:t>7</w:t>
      </w:r>
      <w:r>
        <w:rPr>
          <w:rFonts w:hint="eastAsia" w:ascii="宋体" w:hAnsi="宋体" w:eastAsia="宋体" w:cs="宋体"/>
          <w:sz w:val="28"/>
          <w:szCs w:val="28"/>
        </w:rPr>
        <w:t>个工作日内院方需启动验收。</w:t>
      </w:r>
    </w:p>
    <w:p w14:paraId="3A35AB0D">
      <w:pPr>
        <w:numPr>
          <w:ilvl w:val="0"/>
          <w:numId w:val="7"/>
        </w:numPr>
        <w:tabs>
          <w:tab w:val="left" w:pos="0"/>
          <w:tab w:val="left" w:pos="210"/>
          <w:tab w:val="left" w:pos="567"/>
        </w:tabs>
        <w:spacing w:line="360" w:lineRule="auto"/>
        <w:ind w:firstLine="420" w:firstLineChars="0"/>
        <w:rPr>
          <w:rFonts w:hint="eastAsia" w:ascii="宋体" w:hAnsi="宋体" w:eastAsia="宋体" w:cs="宋体"/>
          <w:sz w:val="28"/>
          <w:szCs w:val="28"/>
        </w:rPr>
      </w:pPr>
      <w:r>
        <w:rPr>
          <w:rFonts w:hint="eastAsia" w:ascii="宋体" w:hAnsi="宋体" w:eastAsia="宋体" w:cs="宋体"/>
          <w:sz w:val="28"/>
          <w:szCs w:val="28"/>
        </w:rPr>
        <w:t>验收人员：双方相关人员。</w:t>
      </w:r>
    </w:p>
    <w:p w14:paraId="356CA4AF">
      <w:pPr>
        <w:numPr>
          <w:ilvl w:val="0"/>
          <w:numId w:val="7"/>
        </w:numPr>
        <w:tabs>
          <w:tab w:val="left" w:pos="0"/>
          <w:tab w:val="left" w:pos="210"/>
          <w:tab w:val="left" w:pos="567"/>
        </w:tabs>
        <w:spacing w:line="360" w:lineRule="auto"/>
        <w:ind w:firstLine="420" w:firstLineChars="0"/>
        <w:rPr>
          <w:rFonts w:hint="eastAsia" w:ascii="宋体" w:hAnsi="宋体" w:eastAsia="宋体" w:cs="宋体"/>
          <w:sz w:val="28"/>
          <w:szCs w:val="28"/>
        </w:rPr>
      </w:pPr>
      <w:r>
        <w:rPr>
          <w:rFonts w:hint="eastAsia" w:ascii="宋体" w:hAnsi="宋体" w:eastAsia="宋体" w:cs="宋体"/>
          <w:sz w:val="28"/>
          <w:szCs w:val="28"/>
        </w:rPr>
        <w:t>验收标准：</w:t>
      </w:r>
    </w:p>
    <w:p w14:paraId="2411F346">
      <w:pPr>
        <w:numPr>
          <w:ilvl w:val="0"/>
          <w:numId w:val="8"/>
        </w:numPr>
        <w:tabs>
          <w:tab w:val="left" w:pos="0"/>
          <w:tab w:val="left" w:pos="210"/>
          <w:tab w:val="left" w:pos="567"/>
        </w:tabs>
        <w:spacing w:line="360" w:lineRule="auto"/>
        <w:ind w:left="0" w:leftChars="0"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日常运维服务验收：服务商提供完整维护记录（包括系统错误修复、系统数据修复、故障处置、巡检报告等），经院方审核确认后验收；</w:t>
      </w:r>
    </w:p>
    <w:p w14:paraId="186140D3">
      <w:pPr>
        <w:numPr>
          <w:ilvl w:val="0"/>
          <w:numId w:val="8"/>
        </w:numPr>
        <w:tabs>
          <w:tab w:val="left" w:pos="0"/>
          <w:tab w:val="left" w:pos="210"/>
          <w:tab w:val="left" w:pos="567"/>
        </w:tabs>
        <w:spacing w:line="360" w:lineRule="auto"/>
        <w:ind w:left="0" w:leftChars="0"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服务质量验收：结合全年服务响应时效、问题解决率、用户满意度等指标进行综合评估。</w:t>
      </w:r>
    </w:p>
    <w:p w14:paraId="1C40AE40">
      <w:pPr>
        <w:pStyle w:val="3"/>
        <w:numPr>
          <w:ilvl w:val="0"/>
          <w:numId w:val="2"/>
        </w:numPr>
        <w:spacing w:before="0" w:after="0"/>
        <w:rPr>
          <w:rFonts w:hint="eastAsia" w:ascii="宋体" w:hAnsi="宋体" w:eastAsia="宋体" w:cs="宋体"/>
          <w:sz w:val="32"/>
          <w:szCs w:val="32"/>
          <w:lang w:val="en-US"/>
        </w:rPr>
      </w:pPr>
      <w:r>
        <w:rPr>
          <w:rFonts w:hint="eastAsia" w:ascii="宋体" w:hAnsi="宋体" w:eastAsia="宋体" w:cs="宋体"/>
          <w:sz w:val="32"/>
          <w:szCs w:val="32"/>
          <w:lang w:val="en-US"/>
        </w:rPr>
        <w:t>合同款支付方式</w:t>
      </w:r>
    </w:p>
    <w:p w14:paraId="46D31DD0">
      <w:pPr>
        <w:numPr>
          <w:ilvl w:val="0"/>
          <w:numId w:val="9"/>
        </w:numPr>
        <w:tabs>
          <w:tab w:val="left" w:pos="0"/>
          <w:tab w:val="left" w:pos="210"/>
          <w:tab w:val="left" w:pos="567"/>
        </w:tabs>
        <w:spacing w:line="360" w:lineRule="auto"/>
        <w:ind w:firstLine="420" w:firstLineChars="0"/>
        <w:rPr>
          <w:rFonts w:hint="eastAsia" w:ascii="宋体" w:hAnsi="宋体" w:eastAsia="宋体" w:cs="宋体"/>
          <w:sz w:val="28"/>
          <w:szCs w:val="28"/>
        </w:rPr>
      </w:pPr>
      <w:r>
        <w:rPr>
          <w:rFonts w:hint="eastAsia" w:ascii="宋体" w:hAnsi="宋体" w:eastAsia="宋体" w:cs="宋体"/>
          <w:sz w:val="28"/>
          <w:szCs w:val="28"/>
        </w:rPr>
        <w:t>服务期开始后，在收到开具相应金额正式发票后，支付合同总金额的</w:t>
      </w:r>
      <w:r>
        <w:rPr>
          <w:rFonts w:hint="eastAsia" w:ascii="宋体" w:hAnsi="宋体" w:cs="宋体"/>
          <w:sz w:val="28"/>
          <w:szCs w:val="28"/>
          <w:lang w:val="en-US" w:eastAsia="zh-CN"/>
        </w:rPr>
        <w:t>5</w:t>
      </w:r>
      <w:r>
        <w:rPr>
          <w:rFonts w:hint="eastAsia" w:ascii="宋体" w:hAnsi="宋体" w:eastAsia="宋体" w:cs="宋体"/>
          <w:sz w:val="28"/>
          <w:szCs w:val="28"/>
        </w:rPr>
        <w:t>0%。</w:t>
      </w:r>
    </w:p>
    <w:p w14:paraId="134BB26F">
      <w:pPr>
        <w:numPr>
          <w:ilvl w:val="0"/>
          <w:numId w:val="9"/>
        </w:numPr>
        <w:tabs>
          <w:tab w:val="left" w:pos="0"/>
          <w:tab w:val="left" w:pos="210"/>
          <w:tab w:val="left" w:pos="567"/>
        </w:tabs>
        <w:spacing w:line="360" w:lineRule="auto"/>
        <w:ind w:firstLine="420" w:firstLineChars="0"/>
        <w:rPr>
          <w:rFonts w:hint="eastAsia" w:ascii="宋体" w:hAnsi="宋体" w:eastAsia="宋体" w:cs="宋体"/>
          <w:sz w:val="28"/>
          <w:szCs w:val="28"/>
        </w:rPr>
      </w:pPr>
      <w:r>
        <w:rPr>
          <w:rFonts w:hint="eastAsia" w:ascii="宋体" w:hAnsi="宋体" w:eastAsia="宋体" w:cs="宋体"/>
          <w:sz w:val="28"/>
          <w:szCs w:val="28"/>
        </w:rPr>
        <w:t>合同期满（服务时间达到100%）且通过维护验收，服务商提供完整维护服务记录及开具相应金额正式发票后，支付合同总金额的</w:t>
      </w:r>
      <w:r>
        <w:rPr>
          <w:rFonts w:hint="eastAsia" w:ascii="宋体" w:hAnsi="宋体" w:cs="宋体"/>
          <w:sz w:val="28"/>
          <w:szCs w:val="28"/>
          <w:lang w:val="en-US" w:eastAsia="zh-CN"/>
        </w:rPr>
        <w:t>5</w:t>
      </w:r>
      <w:r>
        <w:rPr>
          <w:rFonts w:hint="eastAsia" w:ascii="宋体" w:hAnsi="宋体" w:eastAsia="宋体" w:cs="宋体"/>
          <w:sz w:val="28"/>
          <w:szCs w:val="28"/>
        </w:rPr>
        <w:t>0%。</w:t>
      </w:r>
    </w:p>
    <w:p w14:paraId="2C218314">
      <w:pPr>
        <w:rPr>
          <w:rFonts w:hint="eastAsia" w:ascii="宋体" w:hAnsi="宋体" w:eastAsia="宋体" w:cs="宋体"/>
          <w:sz w:val="32"/>
          <w:szCs w:val="32"/>
          <w:highlight w:val="none"/>
        </w:rPr>
      </w:pPr>
      <w:r>
        <w:rPr>
          <w:rFonts w:hint="eastAsia" w:ascii="宋体" w:hAnsi="宋体" w:eastAsia="宋体" w:cs="宋体"/>
          <w:sz w:val="32"/>
          <w:szCs w:val="32"/>
          <w:highlight w:val="none"/>
        </w:rPr>
        <w:br w:type="page"/>
      </w:r>
    </w:p>
    <w:p w14:paraId="4D3AB79B">
      <w:pPr>
        <w:keepNext w:val="0"/>
        <w:keepLines w:val="0"/>
        <w:pageBreakBefore w:val="0"/>
        <w:widowControl w:val="0"/>
        <w:shd w:val="clear"/>
        <w:tabs>
          <w:tab w:val="left" w:pos="780"/>
        </w:tabs>
        <w:kinsoku/>
        <w:wordWrap/>
        <w:overflowPunct/>
        <w:topLinePunct w:val="0"/>
        <w:autoSpaceDE/>
        <w:autoSpaceDN/>
        <w:bidi w:val="0"/>
        <w:adjustRightInd/>
        <w:snapToGrid/>
        <w:spacing w:line="360" w:lineRule="auto"/>
        <w:ind w:firstLine="217" w:firstLineChars="68"/>
        <w:jc w:val="left"/>
        <w:textAlignment w:val="auto"/>
        <w:outlineLvl w:val="0"/>
        <w:rPr>
          <w:rFonts w:hint="eastAsia" w:ascii="宋体" w:hAnsi="宋体" w:eastAsia="宋体" w:cs="宋体"/>
          <w:sz w:val="32"/>
          <w:szCs w:val="32"/>
          <w:highlight w:val="none"/>
        </w:rPr>
      </w:pPr>
      <w:r>
        <w:rPr>
          <w:rFonts w:hint="eastAsia" w:ascii="宋体" w:hAnsi="宋体" w:eastAsia="宋体" w:cs="宋体"/>
          <w:sz w:val="32"/>
          <w:szCs w:val="32"/>
          <w:highlight w:val="none"/>
        </w:rPr>
        <w:t>附件：</w:t>
      </w:r>
    </w:p>
    <w:tbl>
      <w:tblPr>
        <w:tblStyle w:val="12"/>
        <w:tblW w:w="8799" w:type="dxa"/>
        <w:tblInd w:w="91" w:type="dxa"/>
        <w:tblLayout w:type="autofit"/>
        <w:tblCellMar>
          <w:top w:w="0" w:type="dxa"/>
          <w:left w:w="108" w:type="dxa"/>
          <w:bottom w:w="0" w:type="dxa"/>
          <w:right w:w="108" w:type="dxa"/>
        </w:tblCellMar>
      </w:tblPr>
      <w:tblGrid>
        <w:gridCol w:w="903"/>
        <w:gridCol w:w="7896"/>
      </w:tblGrid>
      <w:tr w14:paraId="3B507310">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0"/>
            <w:vAlign w:val="center"/>
          </w:tcPr>
          <w:p w14:paraId="09F26226">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序号</w:t>
            </w:r>
          </w:p>
        </w:tc>
        <w:tc>
          <w:tcPr>
            <w:tcW w:w="7896" w:type="dxa"/>
            <w:tcBorders>
              <w:top w:val="single" w:color="000000" w:sz="4" w:space="0"/>
              <w:left w:val="single" w:color="000000" w:sz="4" w:space="0"/>
              <w:bottom w:val="single" w:color="000000" w:sz="4" w:space="0"/>
              <w:right w:val="single" w:color="000000" w:sz="4" w:space="0"/>
            </w:tcBorders>
            <w:noWrap w:val="0"/>
            <w:vAlign w:val="center"/>
          </w:tcPr>
          <w:p w14:paraId="2410DF13">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各业务系统维护项目</w:t>
            </w:r>
          </w:p>
        </w:tc>
      </w:tr>
      <w:tr w14:paraId="7DF2F00C">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76F20E3">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4D4B46FC">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EICU重症监护管理系统</w:t>
            </w:r>
          </w:p>
        </w:tc>
      </w:tr>
      <w:tr w14:paraId="0A19656C">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E4F03D3">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397E8F8F">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病理流程管理系统</w:t>
            </w:r>
          </w:p>
        </w:tc>
      </w:tr>
      <w:tr w14:paraId="74E2BC01">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6F3E876">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35D5825F">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数字切片扫描系统</w:t>
            </w:r>
          </w:p>
        </w:tc>
      </w:tr>
      <w:tr w14:paraId="21CB00DE">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41FE3A4">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383E3B37">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strike w:val="0"/>
                <w:dstrike w:val="0"/>
                <w:color w:val="000000"/>
                <w:kern w:val="0"/>
                <w:sz w:val="21"/>
                <w:szCs w:val="21"/>
                <w:lang w:val="en-US" w:eastAsia="zh-CN" w:bidi="ar"/>
              </w:rPr>
              <w:t>院感系统</w:t>
            </w:r>
          </w:p>
        </w:tc>
      </w:tr>
      <w:tr w14:paraId="5FAAB78F">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15E91F0">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077EBE53">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辅助生殖信息系统</w:t>
            </w:r>
          </w:p>
        </w:tc>
      </w:tr>
      <w:tr w14:paraId="7B88F8A0">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81B4705">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137E9409">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惠福抽血室叫号排队系统</w:t>
            </w:r>
          </w:p>
        </w:tc>
      </w:tr>
      <w:tr w14:paraId="5F6B375C">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2B19063">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22C4CF3E">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产前诊断信息管理系统</w:t>
            </w:r>
          </w:p>
        </w:tc>
      </w:tr>
      <w:tr w14:paraId="0AAFE773">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B80B1A5">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8</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2155DACD">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医保公医病人申报服务流程管理软件</w:t>
            </w:r>
          </w:p>
        </w:tc>
      </w:tr>
      <w:tr w14:paraId="6B224552">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E06C312">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01A40684">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儿童保健系统</w:t>
            </w:r>
          </w:p>
        </w:tc>
      </w:tr>
      <w:tr w14:paraId="34C4D69A">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231F3C1">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562BC43B">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医保智能审核系统</w:t>
            </w:r>
          </w:p>
        </w:tc>
      </w:tr>
      <w:tr w14:paraId="66BAC4A3">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A23330A">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7CAA26DF">
            <w:pPr>
              <w:keepNext w:val="0"/>
              <w:keepLines w:val="0"/>
              <w:widowControl/>
              <w:suppressLineNumbers w:val="0"/>
              <w:jc w:val="left"/>
              <w:textAlignment w:val="center"/>
              <w:rPr>
                <w:rFonts w:hint="eastAsia" w:ascii="宋体" w:hAnsi="宋体" w:eastAsia="宋体" w:cs="宋体"/>
                <w:sz w:val="20"/>
                <w:szCs w:val="20"/>
              </w:rPr>
            </w:pPr>
            <w:r>
              <w:rPr>
                <w:rStyle w:val="20"/>
                <w:lang w:val="en-US" w:eastAsia="zh-CN" w:bidi="ar"/>
              </w:rPr>
              <w:t>中国疾病预防控制信息系统客户端</w:t>
            </w:r>
            <w:r>
              <w:rPr>
                <w:rStyle w:val="21"/>
                <w:lang w:val="en-US" w:eastAsia="zh-CN" w:bidi="ar"/>
              </w:rPr>
              <w:t>KEY</w:t>
            </w:r>
            <w:r>
              <w:rPr>
                <w:rStyle w:val="20"/>
                <w:lang w:val="en-US" w:eastAsia="zh-CN" w:bidi="ar"/>
              </w:rPr>
              <w:t>年审服务</w:t>
            </w:r>
          </w:p>
        </w:tc>
      </w:tr>
      <w:tr w14:paraId="1102F234">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D3FCBC5">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12</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407B4668">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临床用血管理系统</w:t>
            </w:r>
          </w:p>
        </w:tc>
      </w:tr>
      <w:tr w14:paraId="09BD1E64">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363C80E">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17BEBAE5">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输血系统优化</w:t>
            </w:r>
          </w:p>
        </w:tc>
      </w:tr>
      <w:tr w14:paraId="24B3C943">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975BDAF">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1061FC4A">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传染病流感监测系统</w:t>
            </w:r>
          </w:p>
        </w:tc>
      </w:tr>
      <w:tr w14:paraId="1B5B83F4">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FDB5000">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214AF00A">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医学在线考试系统（西医、护理版）</w:t>
            </w:r>
          </w:p>
        </w:tc>
      </w:tr>
      <w:tr w14:paraId="623822F8">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192BC02">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16</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49A8476B">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传染病监测预警管理系统</w:t>
            </w:r>
          </w:p>
        </w:tc>
      </w:tr>
      <w:tr w14:paraId="5277AA64">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431445E">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464D1799">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核医学信息管理系统</w:t>
            </w:r>
          </w:p>
        </w:tc>
      </w:tr>
      <w:tr w14:paraId="5E1D8D57">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D2918E7">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lang w:eastAsia="zh-CN"/>
              </w:rPr>
            </w:pPr>
            <w:r>
              <w:rPr>
                <w:rFonts w:hint="eastAsia" w:ascii="宋体" w:hAnsi="宋体" w:eastAsia="宋体" w:cs="宋体"/>
                <w:color w:val="000000"/>
                <w:kern w:val="0"/>
                <w:sz w:val="22"/>
                <w:szCs w:val="22"/>
                <w:lang w:bidi="ar"/>
              </w:rPr>
              <w:t>1</w:t>
            </w:r>
            <w:r>
              <w:rPr>
                <w:rFonts w:hint="eastAsia" w:ascii="宋体" w:hAnsi="宋体" w:eastAsia="宋体" w:cs="宋体"/>
                <w:color w:val="000000"/>
                <w:kern w:val="0"/>
                <w:sz w:val="22"/>
                <w:szCs w:val="22"/>
                <w:lang w:val="en-US" w:eastAsia="zh-CN" w:bidi="ar"/>
              </w:rPr>
              <w:t>8</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426DDB22">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1"/>
                <w:szCs w:val="21"/>
                <w:u w:val="none"/>
                <w:lang w:val="en-US" w:eastAsia="zh-CN" w:bidi="ar"/>
              </w:rPr>
              <w:t>中国医院药物警戒系统</w:t>
            </w:r>
          </w:p>
        </w:tc>
      </w:tr>
      <w:tr w14:paraId="13E9001F">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16286FD9">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19</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7E20732F">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计财处微信公众号二期项目</w:t>
            </w:r>
          </w:p>
        </w:tc>
      </w:tr>
      <w:tr w14:paraId="4271DC24">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0E91D7EE">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53FDB40C">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办公自动化系统</w:t>
            </w:r>
          </w:p>
        </w:tc>
      </w:tr>
      <w:tr w14:paraId="191E96F3">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6BE27120">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21</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46B0826B">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1"/>
                <w:szCs w:val="21"/>
                <w:u w:val="none"/>
                <w:lang w:val="en-US" w:eastAsia="zh-CN" w:bidi="ar"/>
              </w:rPr>
              <w:t>电子票据系统</w:t>
            </w:r>
          </w:p>
        </w:tc>
      </w:tr>
      <w:tr w14:paraId="443A02F5">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647D2FB5">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22</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0C8D39E1">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消毒供应室追溯管理系统</w:t>
            </w:r>
          </w:p>
        </w:tc>
      </w:tr>
      <w:tr w14:paraId="464CEE23">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42A19A79">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23</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57968198">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1"/>
                <w:szCs w:val="21"/>
                <w:u w:val="none"/>
                <w:lang w:val="en-US" w:eastAsia="zh-CN" w:bidi="ar"/>
              </w:rPr>
              <w:t>静脉配置中心信息系统</w:t>
            </w:r>
          </w:p>
        </w:tc>
      </w:tr>
      <w:tr w14:paraId="152B1F23">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64829F84">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24</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69EB2941">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门（急）诊输液中心管理系统</w:t>
            </w:r>
          </w:p>
        </w:tc>
      </w:tr>
      <w:tr w14:paraId="2552E820">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693E4537">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25</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0748E665">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检验LIS集成系统</w:t>
            </w:r>
          </w:p>
        </w:tc>
      </w:tr>
      <w:tr w14:paraId="2C47FF80">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1D6CF2DA">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26</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109907B5">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物资库存及监管系统</w:t>
            </w:r>
          </w:p>
        </w:tc>
      </w:tr>
      <w:tr w14:paraId="1395F23D">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3A5DC129">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27</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52A92DC8">
            <w:pPr>
              <w:keepNext w:val="0"/>
              <w:keepLines w:val="0"/>
              <w:widowControl/>
              <w:suppressLineNumbers w:val="0"/>
              <w:jc w:val="left"/>
              <w:textAlignment w:val="center"/>
              <w:rPr>
                <w:rFonts w:hint="eastAsia" w:ascii="宋体" w:hAnsi="宋体" w:eastAsia="宋体" w:cs="宋体"/>
                <w:sz w:val="20"/>
                <w:szCs w:val="20"/>
              </w:rPr>
            </w:pPr>
            <w:r>
              <w:rPr>
                <w:rStyle w:val="21"/>
                <w:lang w:val="en-US" w:eastAsia="zh-CN" w:bidi="ar"/>
              </w:rPr>
              <w:t>智慧财务I</w:t>
            </w:r>
            <w:r>
              <w:rPr>
                <w:rStyle w:val="20"/>
                <w:lang w:val="en-US" w:eastAsia="zh-CN" w:bidi="ar"/>
              </w:rPr>
              <w:t>期</w:t>
            </w:r>
          </w:p>
        </w:tc>
      </w:tr>
      <w:tr w14:paraId="16E88A77">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574A06F2">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28</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479C9375">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眼科影像信息管理系统</w:t>
            </w:r>
          </w:p>
        </w:tc>
      </w:tr>
      <w:tr w14:paraId="27904AD9">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7287D5A8">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29</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624475D4">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1"/>
                <w:szCs w:val="21"/>
                <w:u w:val="none"/>
                <w:lang w:val="en-US" w:eastAsia="zh-CN" w:bidi="ar"/>
              </w:rPr>
              <w:t>科研数据备案管理系统</w:t>
            </w:r>
          </w:p>
        </w:tc>
      </w:tr>
      <w:tr w14:paraId="257FFBFF">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70D871BA">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3C5DE213">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1"/>
                <w:szCs w:val="21"/>
                <w:u w:val="none"/>
                <w:lang w:val="en-US" w:eastAsia="zh-CN" w:bidi="ar"/>
              </w:rPr>
              <w:t>医德医风考评系统</w:t>
            </w:r>
          </w:p>
        </w:tc>
      </w:tr>
      <w:tr w14:paraId="32025955">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1DB98B79">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31</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7DCC38B3">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医保综合管理系统</w:t>
            </w:r>
          </w:p>
        </w:tc>
      </w:tr>
      <w:tr w14:paraId="70C28F91">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2A8B3F6D">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32</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7B51937B">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cs="宋体"/>
                <w:i w:val="0"/>
                <w:iCs w:val="0"/>
                <w:color w:val="000000"/>
                <w:kern w:val="0"/>
                <w:sz w:val="21"/>
                <w:szCs w:val="21"/>
                <w:u w:val="none"/>
                <w:lang w:val="en-US" w:eastAsia="zh-CN" w:bidi="ar"/>
              </w:rPr>
              <w:t>广东省人民医院</w:t>
            </w:r>
            <w:r>
              <w:rPr>
                <w:rFonts w:hint="eastAsia" w:ascii="宋体" w:hAnsi="宋体" w:eastAsia="宋体" w:cs="宋体"/>
                <w:i w:val="0"/>
                <w:iCs w:val="0"/>
                <w:color w:val="000000"/>
                <w:kern w:val="0"/>
                <w:sz w:val="21"/>
                <w:szCs w:val="21"/>
                <w:u w:val="none"/>
                <w:lang w:val="en-US" w:eastAsia="zh-CN" w:bidi="ar"/>
              </w:rPr>
              <w:t>中英文网站</w:t>
            </w:r>
          </w:p>
        </w:tc>
      </w:tr>
      <w:tr w14:paraId="3E3C0C62">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0E069259">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33</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06081D8D">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产科电子病历系统</w:t>
            </w:r>
          </w:p>
        </w:tc>
      </w:tr>
      <w:tr w14:paraId="202A1E1A">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659FBDAA">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lang w:eastAsia="zh-CN"/>
              </w:rPr>
            </w:pPr>
            <w:r>
              <w:rPr>
                <w:rFonts w:hint="eastAsia" w:ascii="宋体" w:hAnsi="宋体" w:eastAsia="宋体" w:cs="宋体"/>
                <w:color w:val="000000"/>
                <w:kern w:val="0"/>
                <w:sz w:val="22"/>
                <w:szCs w:val="22"/>
                <w:lang w:bidi="ar"/>
              </w:rPr>
              <w:t>34</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0BD5620C">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1"/>
                <w:szCs w:val="21"/>
                <w:u w:val="none"/>
                <w:lang w:val="en-US" w:eastAsia="zh-CN" w:bidi="ar"/>
              </w:rPr>
              <w:t>东软手麻系统</w:t>
            </w:r>
          </w:p>
        </w:tc>
      </w:tr>
      <w:tr w14:paraId="5F2EC345">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31A3DE26">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000000"/>
                <w:sz w:val="22"/>
                <w:szCs w:val="22"/>
                <w:lang w:eastAsia="zh-CN"/>
              </w:rPr>
            </w:pPr>
            <w:r>
              <w:rPr>
                <w:rFonts w:hint="eastAsia" w:ascii="宋体" w:hAnsi="宋体" w:eastAsia="宋体" w:cs="宋体"/>
                <w:color w:val="000000"/>
                <w:kern w:val="0"/>
                <w:sz w:val="22"/>
                <w:szCs w:val="22"/>
                <w:lang w:bidi="ar"/>
              </w:rPr>
              <w:t>3</w:t>
            </w:r>
            <w:r>
              <w:rPr>
                <w:rFonts w:hint="eastAsia" w:ascii="宋体" w:hAnsi="宋体" w:eastAsia="宋体" w:cs="宋体"/>
                <w:color w:val="000000"/>
                <w:kern w:val="0"/>
                <w:sz w:val="22"/>
                <w:szCs w:val="22"/>
                <w:lang w:val="en-US" w:eastAsia="zh-CN" w:bidi="ar"/>
              </w:rPr>
              <w:t>5</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09D692A5">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医用耗材阳光管控系统</w:t>
            </w:r>
          </w:p>
        </w:tc>
      </w:tr>
      <w:tr w14:paraId="715A5D17">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0BDF147D">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bidi="ar"/>
              </w:rPr>
              <w:t>3</w:t>
            </w:r>
            <w:r>
              <w:rPr>
                <w:rFonts w:hint="eastAsia" w:ascii="宋体" w:hAnsi="宋体" w:eastAsia="宋体" w:cs="宋体"/>
                <w:color w:val="000000"/>
                <w:kern w:val="0"/>
                <w:sz w:val="22"/>
                <w:szCs w:val="22"/>
                <w:lang w:val="en-US" w:eastAsia="zh-CN" w:bidi="ar"/>
              </w:rPr>
              <w:t>6</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1EAAE164">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治疗预约评估管理系统</w:t>
            </w:r>
          </w:p>
        </w:tc>
      </w:tr>
      <w:tr w14:paraId="2878FAC4">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7B6E7EB2">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37</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2E787AAA">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药品库存管理平台</w:t>
            </w:r>
          </w:p>
        </w:tc>
      </w:tr>
      <w:tr w14:paraId="4DC4A2E3">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0859F93C">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38</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22251B4F">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临床营养信息系统</w:t>
            </w:r>
          </w:p>
        </w:tc>
      </w:tr>
      <w:tr w14:paraId="4D161813">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563670F5">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39</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6D0F95A3">
            <w:pPr>
              <w:keepNext w:val="0"/>
              <w:keepLines w:val="0"/>
              <w:widowControl/>
              <w:suppressLineNumbers w:val="0"/>
              <w:jc w:val="left"/>
              <w:textAlignment w:val="center"/>
              <w:rPr>
                <w:rFonts w:hint="eastAsia" w:ascii="宋体" w:hAnsi="宋体" w:eastAsia="宋体" w:cs="宋体"/>
                <w:sz w:val="20"/>
                <w:szCs w:val="20"/>
              </w:rPr>
            </w:pPr>
            <w:r>
              <w:rPr>
                <w:rStyle w:val="21"/>
                <w:lang w:val="en-US" w:eastAsia="zh-CN" w:bidi="ar"/>
              </w:rPr>
              <w:t>RIS</w:t>
            </w:r>
            <w:r>
              <w:rPr>
                <w:rStyle w:val="20"/>
                <w:lang w:val="en-US" w:eastAsia="zh-CN" w:bidi="ar"/>
              </w:rPr>
              <w:t>系统平台建设服务软件</w:t>
            </w:r>
          </w:p>
        </w:tc>
      </w:tr>
      <w:tr w14:paraId="21D35EE9">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28588C2E">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40</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26A7EC2D">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科研管理综合服务平台</w:t>
            </w:r>
          </w:p>
        </w:tc>
      </w:tr>
      <w:tr w14:paraId="5062F49B">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70658A30">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41</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6153FF38">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“银医通”二期项目软件</w:t>
            </w:r>
          </w:p>
        </w:tc>
      </w:tr>
      <w:tr w14:paraId="0BE2F096">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0E265004">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42</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3656E962">
            <w:pPr>
              <w:keepNext w:val="0"/>
              <w:keepLines w:val="0"/>
              <w:widowControl/>
              <w:suppressLineNumbers w:val="0"/>
              <w:jc w:val="left"/>
              <w:textAlignment w:val="center"/>
              <w:rPr>
                <w:rFonts w:hint="eastAsia" w:ascii="宋体" w:hAnsi="宋体" w:eastAsia="宋体" w:cs="宋体"/>
                <w:sz w:val="20"/>
                <w:szCs w:val="20"/>
              </w:rPr>
            </w:pPr>
            <w:r>
              <w:rPr>
                <w:rFonts w:hint="default" w:ascii="Segoe UI" w:hAnsi="Segoe UI" w:eastAsia="Segoe UI" w:cs="Segoe UI"/>
                <w:i w:val="0"/>
                <w:iCs w:val="0"/>
                <w:color w:val="000000"/>
                <w:kern w:val="0"/>
                <w:sz w:val="21"/>
                <w:szCs w:val="21"/>
                <w:u w:val="none"/>
                <w:lang w:val="en-US" w:eastAsia="zh-CN" w:bidi="ar"/>
              </w:rPr>
              <w:t>医技叫号系统</w:t>
            </w:r>
          </w:p>
        </w:tc>
      </w:tr>
      <w:tr w14:paraId="06D1503B">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305FAA08">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43</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028079CE">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cs="宋体"/>
                <w:i w:val="0"/>
                <w:iCs w:val="0"/>
                <w:color w:val="000000"/>
                <w:kern w:val="0"/>
                <w:sz w:val="21"/>
                <w:szCs w:val="21"/>
                <w:u w:val="none"/>
                <w:lang w:val="en-US" w:eastAsia="zh-CN" w:bidi="ar"/>
              </w:rPr>
              <w:t>物资</w:t>
            </w:r>
            <w:r>
              <w:rPr>
                <w:rFonts w:hint="eastAsia" w:ascii="宋体" w:hAnsi="宋体" w:eastAsia="宋体" w:cs="宋体"/>
                <w:i w:val="0"/>
                <w:iCs w:val="0"/>
                <w:color w:val="000000"/>
                <w:kern w:val="0"/>
                <w:sz w:val="21"/>
                <w:szCs w:val="21"/>
                <w:u w:val="none"/>
                <w:lang w:val="en-US" w:eastAsia="zh-CN" w:bidi="ar"/>
              </w:rPr>
              <w:t>库存管理平台及配套采购项目软件维护</w:t>
            </w:r>
          </w:p>
        </w:tc>
      </w:tr>
      <w:tr w14:paraId="7E39A9A9">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74030E02">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44</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17C1D10B">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1"/>
                <w:szCs w:val="21"/>
                <w:u w:val="none"/>
                <w:lang w:val="en-US" w:eastAsia="zh-CN" w:bidi="ar"/>
              </w:rPr>
              <w:t>静脉血栓栓塞症管理系统</w:t>
            </w:r>
          </w:p>
        </w:tc>
      </w:tr>
      <w:tr w14:paraId="70FD2441">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43F78F70">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45</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72098CE3">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1"/>
                <w:szCs w:val="21"/>
                <w:u w:val="none"/>
                <w:lang w:val="en-US" w:eastAsia="zh-CN" w:bidi="ar"/>
              </w:rPr>
              <w:t>疾病预防控制全流程监督系统</w:t>
            </w:r>
          </w:p>
        </w:tc>
      </w:tr>
      <w:tr w14:paraId="696A37E5">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4CE1218C">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46</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4B23AEDC">
            <w:pPr>
              <w:keepNext w:val="0"/>
              <w:keepLines w:val="0"/>
              <w:widowControl/>
              <w:suppressLineNumbers w:val="0"/>
              <w:jc w:val="left"/>
              <w:textAlignment w:val="center"/>
              <w:rPr>
                <w:rFonts w:hint="eastAsia" w:ascii="宋体" w:hAnsi="宋体" w:eastAsia="宋体" w:cs="宋体"/>
                <w:sz w:val="20"/>
                <w:szCs w:val="20"/>
              </w:rPr>
            </w:pPr>
            <w:r>
              <w:rPr>
                <w:rStyle w:val="20"/>
                <w:lang w:val="en-US" w:eastAsia="zh-CN" w:bidi="ar"/>
              </w:rPr>
              <w:t>财务系统开发服务</w:t>
            </w:r>
          </w:p>
        </w:tc>
      </w:tr>
      <w:tr w14:paraId="51B7A2B2">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3E076B33">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47</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3A98ECFE">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1"/>
                <w:szCs w:val="21"/>
                <w:u w:val="none"/>
                <w:lang w:val="en-US" w:eastAsia="zh-CN" w:bidi="ar"/>
              </w:rPr>
              <w:t>行政事务管理平台子项目</w:t>
            </w:r>
          </w:p>
        </w:tc>
      </w:tr>
      <w:tr w14:paraId="72E51004">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307DCD70">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48</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430F28BB">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1"/>
                <w:szCs w:val="21"/>
                <w:u w:val="none"/>
                <w:lang w:val="en-US" w:eastAsia="zh-CN" w:bidi="ar"/>
              </w:rPr>
              <w:t>薪资发放管理系统</w:t>
            </w:r>
          </w:p>
        </w:tc>
      </w:tr>
      <w:tr w14:paraId="1143026F">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0127AF68">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49</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1D01A974">
            <w:pPr>
              <w:keepNext w:val="0"/>
              <w:keepLines w:val="0"/>
              <w:widowControl/>
              <w:suppressLineNumbers w:val="0"/>
              <w:jc w:val="left"/>
              <w:textAlignment w:val="center"/>
              <w:rPr>
                <w:rFonts w:hint="eastAsia" w:ascii="宋体" w:hAnsi="宋体" w:eastAsia="宋体" w:cs="宋体"/>
                <w:sz w:val="20"/>
                <w:szCs w:val="20"/>
              </w:rPr>
            </w:pPr>
            <w:r>
              <w:rPr>
                <w:rStyle w:val="20"/>
                <w:lang w:val="en-US" w:eastAsia="zh-CN" w:bidi="ar"/>
              </w:rPr>
              <w:t>纪检监察管理系统</w:t>
            </w:r>
          </w:p>
        </w:tc>
      </w:tr>
      <w:tr w14:paraId="33C59944">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575219FC">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50</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2AFD6DF6">
            <w:pPr>
              <w:keepNext w:val="0"/>
              <w:keepLines w:val="0"/>
              <w:widowControl/>
              <w:suppressLineNumbers w:val="0"/>
              <w:jc w:val="left"/>
              <w:textAlignment w:val="center"/>
              <w:rPr>
                <w:rFonts w:hint="eastAsia" w:ascii="宋体" w:hAnsi="宋体" w:eastAsia="宋体" w:cs="宋体"/>
                <w:sz w:val="20"/>
                <w:szCs w:val="20"/>
              </w:rPr>
            </w:pPr>
            <w:r>
              <w:rPr>
                <w:rStyle w:val="20"/>
                <w:lang w:val="en-US" w:eastAsia="zh-CN" w:bidi="ar"/>
              </w:rPr>
              <w:t>临床教学信息化管理系统</w:t>
            </w:r>
          </w:p>
        </w:tc>
      </w:tr>
      <w:tr w14:paraId="09E30D0C">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00C0F6A6">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51</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55F23C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Style w:val="20"/>
                <w:lang w:val="en-US" w:eastAsia="zh-CN" w:bidi="ar"/>
              </w:rPr>
              <w:t>数字档案室软件系统</w:t>
            </w:r>
          </w:p>
        </w:tc>
      </w:tr>
      <w:tr w14:paraId="6B122FCE">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3D7439FB">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52</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122370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default" w:ascii="Segoe UI" w:hAnsi="Segoe UI" w:eastAsia="Segoe UI" w:cs="Segoe UI"/>
                <w:i w:val="0"/>
                <w:iCs w:val="0"/>
                <w:color w:val="000000"/>
                <w:kern w:val="0"/>
                <w:sz w:val="21"/>
                <w:szCs w:val="21"/>
                <w:u w:val="none"/>
                <w:lang w:val="en-US" w:eastAsia="zh-CN" w:bidi="ar"/>
              </w:rPr>
              <w:t>超声系统</w:t>
            </w:r>
          </w:p>
        </w:tc>
      </w:tr>
      <w:tr w14:paraId="13EA5922">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2C0C4A14">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53</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3D6E33E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防统方系统</w:t>
            </w:r>
          </w:p>
        </w:tc>
      </w:tr>
      <w:tr w14:paraId="0D22678B">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39A30641">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54</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0FAEFB5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Style w:val="20"/>
                <w:lang w:val="en-US" w:eastAsia="zh-CN" w:bidi="ar"/>
              </w:rPr>
              <w:t>放射科</w:t>
            </w:r>
            <w:r>
              <w:rPr>
                <w:rStyle w:val="21"/>
                <w:lang w:val="en-US" w:eastAsia="zh-CN" w:bidi="ar"/>
              </w:rPr>
              <w:t>PACS</w:t>
            </w:r>
            <w:r>
              <w:rPr>
                <w:rStyle w:val="20"/>
                <w:lang w:val="en-US" w:eastAsia="zh-CN" w:bidi="ar"/>
              </w:rPr>
              <w:t>系统</w:t>
            </w:r>
          </w:p>
        </w:tc>
      </w:tr>
      <w:tr w14:paraId="14B86565">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2AD9D182">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55</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4FB185A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广东省医学科学院中英文网站</w:t>
            </w:r>
          </w:p>
        </w:tc>
      </w:tr>
      <w:tr w14:paraId="4622508A">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4CA26A21">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56</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35C3EC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default" w:ascii="Segoe UI" w:hAnsi="Segoe UI" w:eastAsia="Segoe UI" w:cs="Segoe UI"/>
                <w:i w:val="0"/>
                <w:iCs w:val="0"/>
                <w:color w:val="000000"/>
                <w:kern w:val="0"/>
                <w:sz w:val="21"/>
                <w:szCs w:val="21"/>
                <w:u w:val="none"/>
                <w:lang w:val="en-US" w:eastAsia="zh-CN" w:bidi="ar"/>
              </w:rPr>
              <w:t>绩效管理系统</w:t>
            </w:r>
          </w:p>
        </w:tc>
      </w:tr>
      <w:tr w14:paraId="28FBB147">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62F13A5E">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57</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2A28E8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一体化预约系统支撑体系统</w:t>
            </w:r>
          </w:p>
        </w:tc>
      </w:tr>
      <w:tr w14:paraId="102CE90A">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7586EE65">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58</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61C97D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default" w:ascii="Segoe UI" w:hAnsi="Segoe UI" w:eastAsia="Segoe UI" w:cs="Segoe UI"/>
                <w:i w:val="0"/>
                <w:iCs w:val="0"/>
                <w:color w:val="000000"/>
                <w:kern w:val="0"/>
                <w:sz w:val="21"/>
                <w:szCs w:val="21"/>
                <w:u w:val="none"/>
                <w:lang w:val="en-US" w:eastAsia="zh-CN" w:bidi="ar"/>
              </w:rPr>
              <w:t>儿保助理软件及其小程序认证费用</w:t>
            </w:r>
          </w:p>
        </w:tc>
      </w:tr>
      <w:tr w14:paraId="66A239CA">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3F5608F6">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59</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457A917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企业微信</w:t>
            </w:r>
          </w:p>
        </w:tc>
      </w:tr>
      <w:tr w14:paraId="50094D4E">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38589358">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60</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6349AED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广东省医学科学院官网</w:t>
            </w:r>
          </w:p>
        </w:tc>
      </w:tr>
      <w:tr w14:paraId="2788770F">
        <w:tblPrEx>
          <w:tblCellMar>
            <w:top w:w="0" w:type="dxa"/>
            <w:left w:w="108" w:type="dxa"/>
            <w:bottom w:w="0" w:type="dxa"/>
            <w:right w:w="108" w:type="dxa"/>
          </w:tblCellMar>
        </w:tblPrEx>
        <w:trPr>
          <w:trHeight w:val="454" w:hRule="atLeast"/>
        </w:trPr>
        <w:tc>
          <w:tcPr>
            <w:tcW w:w="903" w:type="dxa"/>
            <w:tcBorders>
              <w:top w:val="single" w:color="000000" w:sz="4" w:space="0"/>
              <w:left w:val="single" w:color="000000" w:sz="4" w:space="0"/>
              <w:bottom w:val="single" w:color="000000" w:sz="4" w:space="0"/>
              <w:right w:val="single" w:color="000000" w:sz="4" w:space="0"/>
            </w:tcBorders>
            <w:noWrap/>
            <w:vAlign w:val="center"/>
          </w:tcPr>
          <w:p w14:paraId="312CB46E">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宋体" w:hAnsi="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61</w:t>
            </w:r>
          </w:p>
        </w:tc>
        <w:tc>
          <w:tcPr>
            <w:tcW w:w="7896" w:type="dxa"/>
            <w:tcBorders>
              <w:top w:val="single" w:color="000000" w:sz="4" w:space="0"/>
              <w:left w:val="single" w:color="000000" w:sz="4" w:space="0"/>
              <w:bottom w:val="single" w:color="000000" w:sz="4" w:space="0"/>
              <w:right w:val="single" w:color="000000" w:sz="4" w:space="0"/>
            </w:tcBorders>
            <w:noWrap/>
            <w:vAlign w:val="center"/>
          </w:tcPr>
          <w:p w14:paraId="7C31296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呼吸数据管理系统</w:t>
            </w:r>
          </w:p>
        </w:tc>
      </w:tr>
    </w:tbl>
    <w:p w14:paraId="112BDCF1">
      <w:pPr>
        <w:rPr>
          <w:rFonts w:hint="eastAsia" w:ascii="宋体" w:hAnsi="宋体" w:eastAsia="宋体" w:cs="宋体"/>
        </w:rPr>
      </w:pPr>
    </w:p>
    <w:sectPr>
      <w:footerReference r:id="rId3" w:type="default"/>
      <w:pgSz w:w="11906" w:h="16838"/>
      <w:pgMar w:top="907" w:right="1418" w:bottom="794" w:left="1418" w:header="851" w:footer="68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3262D">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FA0867">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2FA0867">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154459"/>
    <w:multiLevelType w:val="singleLevel"/>
    <w:tmpl w:val="99154459"/>
    <w:lvl w:ilvl="0" w:tentative="0">
      <w:start w:val="1"/>
      <w:numFmt w:val="decimal"/>
      <w:suff w:val="nothing"/>
      <w:lvlText w:val="%1．"/>
      <w:lvlJc w:val="left"/>
      <w:pPr>
        <w:ind w:left="0" w:firstLine="400"/>
      </w:pPr>
      <w:rPr>
        <w:rFonts w:hint="default"/>
      </w:rPr>
    </w:lvl>
  </w:abstractNum>
  <w:abstractNum w:abstractNumId="1">
    <w:nsid w:val="BC86EF93"/>
    <w:multiLevelType w:val="singleLevel"/>
    <w:tmpl w:val="BC86EF93"/>
    <w:lvl w:ilvl="0" w:tentative="0">
      <w:start w:val="1"/>
      <w:numFmt w:val="decimal"/>
      <w:suff w:val="nothing"/>
      <w:lvlText w:val="%1．"/>
      <w:lvlJc w:val="left"/>
      <w:pPr>
        <w:ind w:left="0" w:firstLine="400"/>
      </w:pPr>
      <w:rPr>
        <w:rFonts w:hint="default"/>
      </w:rPr>
    </w:lvl>
  </w:abstractNum>
  <w:abstractNum w:abstractNumId="2">
    <w:nsid w:val="C9C0BE8F"/>
    <w:multiLevelType w:val="singleLevel"/>
    <w:tmpl w:val="C9C0BE8F"/>
    <w:lvl w:ilvl="0" w:tentative="0">
      <w:start w:val="1"/>
      <w:numFmt w:val="chineseCounting"/>
      <w:suff w:val="nothing"/>
      <w:lvlText w:val="（%1）"/>
      <w:lvlJc w:val="left"/>
      <w:pPr>
        <w:ind w:left="0" w:firstLine="420"/>
      </w:pPr>
      <w:rPr>
        <w:rFonts w:hint="eastAsia"/>
      </w:rPr>
    </w:lvl>
  </w:abstractNum>
  <w:abstractNum w:abstractNumId="3">
    <w:nsid w:val="CCFB6F69"/>
    <w:multiLevelType w:val="singleLevel"/>
    <w:tmpl w:val="CCFB6F69"/>
    <w:lvl w:ilvl="0" w:tentative="0">
      <w:start w:val="1"/>
      <w:numFmt w:val="decimal"/>
      <w:suff w:val="nothing"/>
      <w:lvlText w:val="%1．"/>
      <w:lvlJc w:val="left"/>
      <w:pPr>
        <w:ind w:left="0" w:firstLine="400"/>
      </w:pPr>
      <w:rPr>
        <w:rFonts w:hint="default"/>
      </w:rPr>
    </w:lvl>
  </w:abstractNum>
  <w:abstractNum w:abstractNumId="4">
    <w:nsid w:val="F931AE72"/>
    <w:multiLevelType w:val="singleLevel"/>
    <w:tmpl w:val="F931AE72"/>
    <w:lvl w:ilvl="0" w:tentative="0">
      <w:start w:val="1"/>
      <w:numFmt w:val="decimal"/>
      <w:suff w:val="nothing"/>
      <w:lvlText w:val="%1．"/>
      <w:lvlJc w:val="left"/>
      <w:pPr>
        <w:ind w:left="0" w:firstLine="400"/>
      </w:pPr>
      <w:rPr>
        <w:rFonts w:hint="default"/>
      </w:rPr>
    </w:lvl>
  </w:abstractNum>
  <w:abstractNum w:abstractNumId="5">
    <w:nsid w:val="00A8711F"/>
    <w:multiLevelType w:val="singleLevel"/>
    <w:tmpl w:val="00A8711F"/>
    <w:lvl w:ilvl="0" w:tentative="0">
      <w:start w:val="1"/>
      <w:numFmt w:val="chineseCounting"/>
      <w:suff w:val="nothing"/>
      <w:lvlText w:val="（%1）"/>
      <w:lvlJc w:val="left"/>
      <w:pPr>
        <w:ind w:left="0" w:firstLine="420"/>
      </w:pPr>
      <w:rPr>
        <w:rFonts w:hint="eastAsia"/>
      </w:rPr>
    </w:lvl>
  </w:abstractNum>
  <w:abstractNum w:abstractNumId="6">
    <w:nsid w:val="29015205"/>
    <w:multiLevelType w:val="multilevel"/>
    <w:tmpl w:val="29015205"/>
    <w:lvl w:ilvl="0" w:tentative="0">
      <w:start w:val="1"/>
      <w:numFmt w:val="decimal"/>
      <w:pStyle w:val="3"/>
      <w:lvlText w:val="%1"/>
      <w:lvlJc w:val="left"/>
      <w:pPr>
        <w:ind w:left="432" w:hanging="432"/>
      </w:pPr>
      <w:rPr>
        <w:rFonts w:hint="eastAsia"/>
      </w:rPr>
    </w:lvl>
    <w:lvl w:ilvl="1" w:tentative="0">
      <w:start w:val="1"/>
      <w:numFmt w:val="decimal"/>
      <w:lvlText w:val="4.%2"/>
      <w:lvlJc w:val="left"/>
      <w:pPr>
        <w:ind w:left="576" w:hanging="576"/>
      </w:pPr>
      <w:rPr>
        <w:rFonts w:hint="eastAsia"/>
      </w:rPr>
    </w:lvl>
    <w:lvl w:ilvl="2" w:tentative="0">
      <w:start w:val="1"/>
      <w:numFmt w:val="decimal"/>
      <w:lvlText w:val="6.2.%3"/>
      <w:lvlJc w:val="left"/>
      <w:pPr>
        <w:ind w:left="720" w:hanging="720"/>
      </w:pPr>
      <w:rPr>
        <w:rFonts w:hint="eastAsia"/>
      </w:rPr>
    </w:lvl>
    <w:lvl w:ilvl="3" w:tentative="0">
      <w:start w:val="1"/>
      <w:numFmt w:val="decimal"/>
      <w:pStyle w:val="6"/>
      <w:lvlText w:val="5.1.1.%4"/>
      <w:lvlJc w:val="left"/>
      <w:pPr>
        <w:ind w:left="864" w:hanging="864"/>
      </w:pPr>
      <w:rPr>
        <w:rFonts w:hint="eastAsia"/>
      </w:rPr>
    </w:lvl>
    <w:lvl w:ilvl="4" w:tentative="0">
      <w:start w:val="1"/>
      <w:numFmt w:val="decimal"/>
      <w:lvlText w:val="5.1.1.1.%5"/>
      <w:lvlJc w:val="left"/>
      <w:pPr>
        <w:ind w:left="2142"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7">
    <w:nsid w:val="424A4138"/>
    <w:multiLevelType w:val="multilevel"/>
    <w:tmpl w:val="424A4138"/>
    <w:lvl w:ilvl="0" w:tentative="0">
      <w:start w:val="1"/>
      <w:numFmt w:val="chineseCountingThousand"/>
      <w:lvlText w:val="%1."/>
      <w:lvlJc w:val="left"/>
      <w:pPr>
        <w:ind w:left="432" w:hanging="432"/>
      </w:pPr>
      <w:rPr>
        <w:rFonts w:hint="eastAsia"/>
        <w:color w:val="auto"/>
        <w:sz w:val="32"/>
        <w:szCs w:val="32"/>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8">
    <w:nsid w:val="7D0A7FB1"/>
    <w:multiLevelType w:val="singleLevel"/>
    <w:tmpl w:val="7D0A7FB1"/>
    <w:lvl w:ilvl="0" w:tentative="0">
      <w:start w:val="1"/>
      <w:numFmt w:val="decimal"/>
      <w:suff w:val="nothing"/>
      <w:lvlText w:val="%1．"/>
      <w:lvlJc w:val="left"/>
      <w:pPr>
        <w:ind w:left="0" w:firstLine="400"/>
      </w:pPr>
      <w:rPr>
        <w:rFonts w:hint="default"/>
      </w:rPr>
    </w:lvl>
  </w:abstractNum>
  <w:num w:numId="1">
    <w:abstractNumId w:val="6"/>
  </w:num>
  <w:num w:numId="2">
    <w:abstractNumId w:val="7"/>
  </w:num>
  <w:num w:numId="3">
    <w:abstractNumId w:val="4"/>
  </w:num>
  <w:num w:numId="4">
    <w:abstractNumId w:val="8"/>
  </w:num>
  <w:num w:numId="5">
    <w:abstractNumId w:val="0"/>
  </w:num>
  <w:num w:numId="6">
    <w:abstractNumId w:val="1"/>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hYWM1YzgwNzA5NGNiMzIzNDYyNWYyNDJmMmZkMTAifQ=="/>
  </w:docVars>
  <w:rsids>
    <w:rsidRoot w:val="00000000"/>
    <w:rsid w:val="09336C26"/>
    <w:rsid w:val="15F70D4D"/>
    <w:rsid w:val="19A07A64"/>
    <w:rsid w:val="1AAC313E"/>
    <w:rsid w:val="1B105920"/>
    <w:rsid w:val="1E913D35"/>
    <w:rsid w:val="203C15C2"/>
    <w:rsid w:val="30272873"/>
    <w:rsid w:val="31E76B3F"/>
    <w:rsid w:val="33C31F00"/>
    <w:rsid w:val="36207FF7"/>
    <w:rsid w:val="3C300842"/>
    <w:rsid w:val="3D224331"/>
    <w:rsid w:val="41424F78"/>
    <w:rsid w:val="4D945A34"/>
    <w:rsid w:val="58775B87"/>
    <w:rsid w:val="596874C0"/>
    <w:rsid w:val="65C05036"/>
    <w:rsid w:val="69B3296D"/>
    <w:rsid w:val="750A4F09"/>
    <w:rsid w:val="7CF74C61"/>
    <w:rsid w:val="7E3E4F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8" w:lineRule="auto"/>
      <w:outlineLvl w:val="0"/>
    </w:pPr>
    <w:rPr>
      <w:b/>
      <w:bCs/>
      <w:kern w:val="44"/>
      <w:sz w:val="44"/>
      <w:szCs w:val="44"/>
      <w:lang w:val="zh-CN"/>
    </w:rPr>
  </w:style>
  <w:style w:type="paragraph" w:styleId="4">
    <w:name w:val="heading 2"/>
    <w:basedOn w:val="1"/>
    <w:next w:val="1"/>
    <w:qFormat/>
    <w:uiPriority w:val="0"/>
    <w:pPr>
      <w:keepNext/>
      <w:keepLines/>
      <w:spacing w:before="260" w:after="260" w:line="416" w:lineRule="auto"/>
      <w:outlineLvl w:val="1"/>
    </w:pPr>
    <w:rPr>
      <w:rFonts w:ascii="等线 Light" w:hAnsi="等线 Light" w:eastAsia="等线 Light"/>
      <w:b/>
      <w:bCs/>
      <w:sz w:val="32"/>
      <w:szCs w:val="32"/>
      <w:lang w:val="zh-CN"/>
    </w:rPr>
  </w:style>
  <w:style w:type="paragraph" w:styleId="5">
    <w:name w:val="heading 3"/>
    <w:basedOn w:val="1"/>
    <w:next w:val="1"/>
    <w:qFormat/>
    <w:uiPriority w:val="0"/>
    <w:pPr>
      <w:keepNext/>
      <w:keepLines/>
      <w:spacing w:before="260" w:after="260" w:line="416" w:lineRule="auto"/>
      <w:outlineLvl w:val="2"/>
    </w:pPr>
    <w:rPr>
      <w:b/>
      <w:bCs/>
      <w:sz w:val="30"/>
      <w:szCs w:val="30"/>
      <w:lang w:val="zh-CN"/>
    </w:rPr>
  </w:style>
  <w:style w:type="paragraph" w:styleId="6">
    <w:name w:val="heading 4"/>
    <w:basedOn w:val="1"/>
    <w:next w:val="1"/>
    <w:qFormat/>
    <w:uiPriority w:val="0"/>
    <w:pPr>
      <w:keepNext/>
      <w:keepLines/>
      <w:numPr>
        <w:ilvl w:val="3"/>
        <w:numId w:val="1"/>
      </w:numPr>
      <w:spacing w:before="280" w:after="290" w:line="376" w:lineRule="auto"/>
      <w:outlineLvl w:val="3"/>
    </w:pPr>
    <w:rPr>
      <w:rFonts w:ascii="宋体" w:hAnsi="宋体"/>
      <w:b/>
      <w:bCs/>
      <w:sz w:val="28"/>
      <w:szCs w:val="28"/>
      <w:lang w:val="zh-CN"/>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Calibri" w:hAnsi="Courier New"/>
      <w:szCs w:val="20"/>
      <w:lang w:val="zh-CN"/>
    </w:rPr>
  </w:style>
  <w:style w:type="paragraph" w:styleId="7">
    <w:name w:val="annotation text"/>
    <w:basedOn w:val="1"/>
    <w:unhideWhenUsed/>
    <w:qFormat/>
    <w:uiPriority w:val="0"/>
    <w:pPr>
      <w:jc w:val="left"/>
    </w:pPr>
    <w:rPr>
      <w:kern w:val="0"/>
      <w:sz w:val="20"/>
      <w:lang w:val="zh-CN"/>
    </w:rPr>
  </w:style>
  <w:style w:type="paragraph" w:styleId="8">
    <w:name w:val="Body Text"/>
    <w:basedOn w:val="1"/>
    <w:next w:val="1"/>
    <w:qFormat/>
    <w:uiPriority w:val="0"/>
    <w:pPr>
      <w:spacing w:line="460" w:lineRule="exact"/>
    </w:pPr>
    <w:rPr>
      <w:sz w:val="24"/>
      <w:szCs w:val="22"/>
    </w:rPr>
  </w:style>
  <w:style w:type="paragraph" w:styleId="9">
    <w:name w:val="footer"/>
    <w:basedOn w:val="1"/>
    <w:qFormat/>
    <w:uiPriority w:val="0"/>
    <w:pPr>
      <w:tabs>
        <w:tab w:val="center" w:pos="4153"/>
        <w:tab w:val="right" w:pos="8306"/>
      </w:tabs>
      <w:snapToGrid w:val="0"/>
      <w:jc w:val="left"/>
    </w:pPr>
    <w:rPr>
      <w:sz w:val="18"/>
      <w:szCs w:val="18"/>
      <w:lang w:val="zh-CN"/>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5">
    <w:name w:val="annotation reference"/>
    <w:unhideWhenUsed/>
    <w:qFormat/>
    <w:uiPriority w:val="99"/>
    <w:rPr>
      <w:sz w:val="21"/>
      <w:szCs w:val="21"/>
    </w:rPr>
  </w:style>
  <w:style w:type="paragraph" w:styleId="16">
    <w:name w:val="List Paragraph"/>
    <w:basedOn w:val="1"/>
    <w:qFormat/>
    <w:uiPriority w:val="34"/>
    <w:pPr>
      <w:ind w:firstLine="420" w:firstLineChars="200"/>
    </w:pPr>
    <w:rPr>
      <w:rFonts w:ascii="等线" w:hAnsi="等线" w:eastAsia="等线"/>
      <w:szCs w:val="22"/>
      <w:lang w:val="zh-CN"/>
    </w:rPr>
  </w:style>
  <w:style w:type="paragraph" w:customStyle="1" w:styleId="17">
    <w:name w:val="_Style 32"/>
    <w:basedOn w:val="1"/>
    <w:next w:val="16"/>
    <w:unhideWhenUsed/>
    <w:qFormat/>
    <w:uiPriority w:val="34"/>
    <w:pPr>
      <w:ind w:firstLine="420" w:firstLineChars="200"/>
    </w:pPr>
    <w:rPr>
      <w:rFonts w:hint="eastAsia" w:ascii="微软雅黑" w:hAnsi="微软雅黑" w:eastAsia="微软雅黑" w:cs="Times New Roman"/>
      <w:szCs w:val="24"/>
    </w:rPr>
  </w:style>
  <w:style w:type="paragraph" w:customStyle="1" w:styleId="18">
    <w:name w:val="彩色列表 - 着色 11"/>
    <w:basedOn w:val="1"/>
    <w:qFormat/>
    <w:uiPriority w:val="34"/>
    <w:pPr>
      <w:spacing w:line="360" w:lineRule="auto"/>
      <w:ind w:firstLine="420" w:firstLineChars="200"/>
    </w:pPr>
    <w:rPr>
      <w:rFonts w:ascii="Arial" w:hAnsi="Arial"/>
      <w:szCs w:val="21"/>
    </w:rPr>
  </w:style>
  <w:style w:type="paragraph" w:customStyle="1" w:styleId="19">
    <w:name w:val="U_正文2"/>
    <w:basedOn w:val="1"/>
    <w:qFormat/>
    <w:uiPriority w:val="0"/>
    <w:pPr>
      <w:spacing w:beforeLines="10" w:afterLines="10" w:line="300" w:lineRule="auto"/>
      <w:jc w:val="left"/>
    </w:pPr>
    <w:rPr>
      <w:rFonts w:ascii="Calibri" w:hAnsi="Calibri" w:cs="宋体"/>
      <w:kern w:val="0"/>
      <w:szCs w:val="20"/>
    </w:rPr>
  </w:style>
  <w:style w:type="character" w:customStyle="1" w:styleId="20">
    <w:name w:val="font31"/>
    <w:basedOn w:val="14"/>
    <w:uiPriority w:val="0"/>
    <w:rPr>
      <w:rFonts w:hint="eastAsia" w:ascii="宋体" w:hAnsi="宋体" w:eastAsia="宋体" w:cs="宋体"/>
      <w:color w:val="000000"/>
      <w:sz w:val="21"/>
      <w:szCs w:val="21"/>
      <w:u w:val="none"/>
    </w:rPr>
  </w:style>
  <w:style w:type="character" w:customStyle="1" w:styleId="21">
    <w:name w:val="font11"/>
    <w:basedOn w:val="14"/>
    <w:uiPriority w:val="0"/>
    <w:rPr>
      <w:rFonts w:hint="default" w:ascii="Segoe UI" w:hAnsi="Segoe UI" w:eastAsia="Segoe UI" w:cs="Segoe UI"/>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4489</Words>
  <Characters>4649</Characters>
  <Lines>0</Lines>
  <Paragraphs>0</Paragraphs>
  <TotalTime>717</TotalTime>
  <ScaleCrop>false</ScaleCrop>
  <LinksUpToDate>false</LinksUpToDate>
  <CharactersWithSpaces>4672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2024-05-24T02:24:00Z</dcterms:created>
  <dc:creator>15989</dc:creator>
  <cp:lastModifiedBy>Administrator</cp:lastModifiedBy>
  <cp:lastPrinted>2024-05-31T08:51:00Z</cp:lastPrinted>
  <dcterms:modified xsi:type="dcterms:W3CDTF">2026-07-23T14:26:09Z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BE24DD897475426D9ABFDE2F80C10660_13</vt:lpwstr>
  </property>
  <property fmtid="{D5CDD505-2E9C-101B-9397-08002B2CF9AE}" pid="4" name="KSOTemplateDocerSaveRecord">
    <vt:lpwstr>eyJoZGlkIjoiOWI0YmVmZTRlOWQwNTVhYzE3NTBlZGI4M2QzZDg4ZjkiLCJ1c2VySWQiOiIyNjQwMTAyNjMifQ==</vt:lpwstr>
  </property>
</Properties>
</file>