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0EAD3">
      <w:pPr>
        <w:spacing w:after="0" w:line="312" w:lineRule="auto"/>
        <w:jc w:val="center"/>
        <w:rPr>
          <w:rFonts w:hint="eastAsia"/>
          <w:b/>
          <w:sz w:val="44"/>
          <w:lang w:eastAsia="zh-CN"/>
        </w:rPr>
      </w:pPr>
      <w:r>
        <w:rPr>
          <w:b/>
          <w:sz w:val="44"/>
          <w:lang w:eastAsia="zh-CN"/>
        </w:rPr>
        <w:t>广州医科大学附属中医医院</w:t>
      </w:r>
    </w:p>
    <w:p w14:paraId="17FC638E">
      <w:pPr>
        <w:spacing w:after="0" w:line="312" w:lineRule="auto"/>
        <w:jc w:val="center"/>
        <w:rPr>
          <w:rFonts w:hint="eastAsia"/>
          <w:b/>
          <w:sz w:val="44"/>
          <w:lang w:eastAsia="zh-CN"/>
        </w:rPr>
      </w:pPr>
      <w:r>
        <w:rPr>
          <w:rFonts w:hint="default" w:ascii="Times New Roman" w:hAnsi="Times New Roman" w:cs="Times New Roman"/>
          <w:b/>
          <w:sz w:val="44"/>
          <w:lang w:eastAsia="zh-CN"/>
        </w:rPr>
        <w:t>ACTION</w:t>
      </w:r>
      <w:r>
        <w:rPr>
          <w:b/>
          <w:sz w:val="44"/>
          <w:lang w:eastAsia="zh-CN"/>
        </w:rPr>
        <w:t>网站建设项目</w:t>
      </w:r>
    </w:p>
    <w:p w14:paraId="710D2E19">
      <w:pPr>
        <w:spacing w:after="0" w:line="312" w:lineRule="auto"/>
        <w:jc w:val="center"/>
        <w:rPr>
          <w:rFonts w:hint="eastAsia"/>
          <w:b/>
          <w:sz w:val="36"/>
          <w:lang w:eastAsia="zh-CN"/>
        </w:rPr>
      </w:pPr>
    </w:p>
    <w:p w14:paraId="36835D40">
      <w:pPr>
        <w:spacing w:after="0" w:line="312" w:lineRule="auto"/>
        <w:jc w:val="center"/>
        <w:rPr>
          <w:rFonts w:hint="eastAsia"/>
          <w:b/>
          <w:lang w:eastAsia="zh-CN"/>
        </w:rPr>
      </w:pPr>
    </w:p>
    <w:p w14:paraId="36C01285">
      <w:pPr>
        <w:spacing w:after="0" w:line="312" w:lineRule="auto"/>
        <w:jc w:val="center"/>
        <w:rPr>
          <w:b/>
          <w:sz w:val="44"/>
          <w:lang w:eastAsia="zh-CN"/>
        </w:rPr>
      </w:pPr>
    </w:p>
    <w:p w14:paraId="2EFE6E51">
      <w:pPr>
        <w:spacing w:after="0" w:line="312" w:lineRule="auto"/>
        <w:jc w:val="center"/>
        <w:rPr>
          <w:b/>
          <w:sz w:val="44"/>
          <w:lang w:eastAsia="zh-CN"/>
        </w:rPr>
      </w:pPr>
    </w:p>
    <w:p w14:paraId="4446A023">
      <w:pPr>
        <w:spacing w:after="0" w:line="312" w:lineRule="auto"/>
        <w:jc w:val="center"/>
        <w:rPr>
          <w:b/>
          <w:sz w:val="44"/>
          <w:lang w:eastAsia="zh-CN"/>
        </w:rPr>
      </w:pPr>
    </w:p>
    <w:p w14:paraId="6DF91369">
      <w:pPr>
        <w:spacing w:after="0" w:line="312" w:lineRule="auto"/>
        <w:jc w:val="center"/>
        <w:rPr>
          <w:b/>
          <w:sz w:val="44"/>
          <w:lang w:eastAsia="zh-CN"/>
        </w:rPr>
      </w:pPr>
    </w:p>
    <w:p w14:paraId="42903857">
      <w:pPr>
        <w:spacing w:after="0" w:line="312" w:lineRule="auto"/>
        <w:jc w:val="center"/>
        <w:rPr>
          <w:rFonts w:hint="eastAsia"/>
          <w:lang w:eastAsia="zh-CN"/>
        </w:rPr>
      </w:pPr>
      <w:r>
        <w:rPr>
          <w:b/>
          <w:sz w:val="44"/>
          <w:lang w:eastAsia="zh-CN"/>
        </w:rPr>
        <w:t>采</w:t>
      </w:r>
    </w:p>
    <w:p w14:paraId="3E64E18F">
      <w:pPr>
        <w:spacing w:after="0" w:line="312" w:lineRule="auto"/>
        <w:jc w:val="center"/>
        <w:rPr>
          <w:rFonts w:hint="eastAsia"/>
          <w:lang w:eastAsia="zh-CN"/>
        </w:rPr>
      </w:pPr>
      <w:r>
        <w:rPr>
          <w:b/>
          <w:sz w:val="44"/>
          <w:lang w:eastAsia="zh-CN"/>
        </w:rPr>
        <w:t>购</w:t>
      </w:r>
    </w:p>
    <w:p w14:paraId="000EC8CF">
      <w:pPr>
        <w:spacing w:after="0" w:line="312" w:lineRule="auto"/>
        <w:jc w:val="center"/>
        <w:rPr>
          <w:rFonts w:hint="eastAsia"/>
          <w:lang w:eastAsia="zh-CN"/>
        </w:rPr>
      </w:pPr>
      <w:r>
        <w:rPr>
          <w:b/>
          <w:sz w:val="44"/>
          <w:lang w:eastAsia="zh-CN"/>
        </w:rPr>
        <w:t>需</w:t>
      </w:r>
    </w:p>
    <w:p w14:paraId="1D85B50B">
      <w:pPr>
        <w:spacing w:after="0" w:line="312" w:lineRule="auto"/>
        <w:jc w:val="center"/>
        <w:rPr>
          <w:rFonts w:hint="eastAsia"/>
          <w:b/>
          <w:sz w:val="44"/>
          <w:lang w:eastAsia="zh-CN"/>
        </w:rPr>
      </w:pPr>
      <w:r>
        <w:rPr>
          <w:b/>
          <w:sz w:val="44"/>
          <w:lang w:eastAsia="zh-CN"/>
        </w:rPr>
        <w:t>求</w:t>
      </w:r>
    </w:p>
    <w:p w14:paraId="5A6BAA2A">
      <w:pPr>
        <w:spacing w:after="0" w:line="312" w:lineRule="auto"/>
        <w:jc w:val="center"/>
        <w:rPr>
          <w:rFonts w:hint="eastAsia"/>
          <w:b/>
          <w:sz w:val="44"/>
          <w:lang w:eastAsia="zh-CN"/>
        </w:rPr>
      </w:pPr>
    </w:p>
    <w:p w14:paraId="6F72D61D">
      <w:pPr>
        <w:spacing w:after="0" w:line="312" w:lineRule="auto"/>
        <w:jc w:val="center"/>
        <w:rPr>
          <w:rFonts w:hint="eastAsia"/>
          <w:b/>
          <w:sz w:val="44"/>
          <w:lang w:eastAsia="zh-CN"/>
        </w:rPr>
      </w:pPr>
    </w:p>
    <w:p w14:paraId="1ED824E9">
      <w:pPr>
        <w:spacing w:after="0" w:line="312" w:lineRule="auto"/>
        <w:jc w:val="center"/>
        <w:rPr>
          <w:rFonts w:hint="eastAsia"/>
          <w:b/>
          <w:sz w:val="44"/>
          <w:lang w:eastAsia="zh-CN"/>
        </w:rPr>
      </w:pPr>
    </w:p>
    <w:p w14:paraId="3EA24EA3">
      <w:pPr>
        <w:spacing w:after="0" w:line="312" w:lineRule="auto"/>
        <w:jc w:val="center"/>
        <w:rPr>
          <w:rFonts w:hint="eastAsia"/>
          <w:lang w:eastAsia="zh-CN"/>
        </w:rPr>
      </w:pPr>
    </w:p>
    <w:p w14:paraId="203A0597">
      <w:pPr>
        <w:spacing w:after="0" w:line="312" w:lineRule="auto"/>
        <w:jc w:val="center"/>
        <w:rPr>
          <w:rFonts w:hint="eastAsia"/>
          <w:lang w:eastAsia="zh-CN"/>
        </w:rPr>
      </w:pPr>
    </w:p>
    <w:p w14:paraId="1C1F5048">
      <w:pPr>
        <w:spacing w:after="0" w:line="312" w:lineRule="auto"/>
        <w:jc w:val="center"/>
        <w:rPr>
          <w:rFonts w:hint="eastAsia"/>
          <w:lang w:eastAsia="zh-CN"/>
        </w:rPr>
      </w:pPr>
    </w:p>
    <w:p w14:paraId="1C9D7569">
      <w:pPr>
        <w:spacing w:after="0" w:line="312" w:lineRule="auto"/>
        <w:jc w:val="center"/>
        <w:rPr>
          <w:rFonts w:hint="eastAsia"/>
          <w:lang w:eastAsia="zh-CN"/>
        </w:rPr>
      </w:pPr>
    </w:p>
    <w:p w14:paraId="0C97C6E4">
      <w:pPr>
        <w:spacing w:after="0" w:line="312" w:lineRule="auto"/>
        <w:jc w:val="center"/>
        <w:rPr>
          <w:rFonts w:hint="eastAsia"/>
          <w:lang w:eastAsia="zh-CN"/>
        </w:rPr>
      </w:pPr>
    </w:p>
    <w:p w14:paraId="1909D885">
      <w:pPr>
        <w:spacing w:after="0" w:line="312" w:lineRule="auto"/>
        <w:jc w:val="center"/>
        <w:rPr>
          <w:rFonts w:hint="eastAsia"/>
          <w:lang w:eastAsia="zh-CN"/>
        </w:rPr>
      </w:pPr>
    </w:p>
    <w:p w14:paraId="3181A0D2">
      <w:pPr>
        <w:spacing w:after="0" w:line="312" w:lineRule="auto"/>
        <w:jc w:val="center"/>
        <w:rPr>
          <w:rFonts w:hint="eastAsia"/>
          <w:lang w:eastAsia="zh-CN"/>
        </w:rPr>
      </w:pPr>
      <w:r>
        <w:rPr>
          <w:b/>
          <w:sz w:val="28"/>
          <w:lang w:eastAsia="zh-CN"/>
        </w:rPr>
        <w:t>广州医科大学附属中医医院</w:t>
      </w:r>
    </w:p>
    <w:p w14:paraId="56ABC98F">
      <w:pPr>
        <w:spacing w:after="0" w:line="312" w:lineRule="auto"/>
        <w:jc w:val="center"/>
        <w:rPr>
          <w:rFonts w:hint="eastAsia"/>
          <w:b/>
          <w:sz w:val="28"/>
          <w:lang w:eastAsia="zh-CN"/>
        </w:rPr>
      </w:pPr>
      <w:r>
        <w:rPr>
          <w:b/>
          <w:sz w:val="28"/>
          <w:lang w:eastAsia="zh-CN"/>
        </w:rPr>
        <w:t>2026年</w:t>
      </w:r>
      <w:r>
        <w:rPr>
          <w:rFonts w:hint="eastAsia"/>
          <w:b/>
          <w:sz w:val="28"/>
          <w:lang w:eastAsia="zh-CN"/>
        </w:rPr>
        <w:t>7</w:t>
      </w:r>
      <w:r>
        <w:rPr>
          <w:b/>
          <w:sz w:val="28"/>
          <w:lang w:eastAsia="zh-CN"/>
        </w:rPr>
        <w:t>月</w:t>
      </w:r>
    </w:p>
    <w:p w14:paraId="5B33F9E7">
      <w:pPr>
        <w:spacing w:after="0" w:line="360" w:lineRule="auto"/>
        <w:jc w:val="both"/>
        <w:rPr>
          <w:rFonts w:hint="eastAsia"/>
          <w:b/>
          <w:sz w:val="28"/>
          <w:lang w:eastAsia="zh-CN"/>
        </w:rPr>
      </w:pPr>
      <w:r>
        <w:rPr>
          <w:rFonts w:hint="eastAsia"/>
          <w:b/>
          <w:sz w:val="28"/>
          <w:lang w:eastAsia="zh-CN"/>
        </w:rPr>
        <w:br w:type="page"/>
      </w:r>
    </w:p>
    <w:p w14:paraId="6D019242">
      <w:pPr>
        <w:spacing w:after="0" w:line="312" w:lineRule="auto"/>
        <w:jc w:val="center"/>
        <w:rPr>
          <w:rFonts w:hint="eastAsia"/>
          <w:lang w:eastAsia="zh-CN"/>
        </w:rPr>
      </w:pPr>
      <w:bookmarkStart w:id="0" w:name="_Hlk233787239"/>
      <w:r>
        <w:rPr>
          <w:b/>
          <w:sz w:val="32"/>
          <w:lang w:eastAsia="zh-CN"/>
        </w:rPr>
        <w:t>用户需求书</w:t>
      </w:r>
    </w:p>
    <w:bookmarkEnd w:id="0"/>
    <w:p w14:paraId="6AE35145">
      <w:pPr>
        <w:spacing w:after="0" w:line="312" w:lineRule="auto"/>
        <w:rPr>
          <w:rFonts w:hint="eastAsia"/>
          <w:lang w:eastAsia="zh-CN"/>
        </w:rPr>
      </w:pPr>
      <w:r>
        <w:rPr>
          <w:b/>
          <w:sz w:val="26"/>
          <w:lang w:eastAsia="zh-CN"/>
        </w:rPr>
        <w:t>一、项目标的</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116"/>
        <w:gridCol w:w="3653"/>
        <w:gridCol w:w="1623"/>
      </w:tblGrid>
      <w:tr w14:paraId="1CFE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6F570A57">
            <w:pPr>
              <w:spacing w:after="0"/>
              <w:jc w:val="center"/>
              <w:rPr>
                <w:rFonts w:hint="eastAsia" w:eastAsiaTheme="minorEastAsia"/>
                <w:sz w:val="22"/>
              </w:rPr>
            </w:pPr>
            <w:r>
              <w:rPr>
                <w:rFonts w:eastAsia="宋体"/>
                <w:b/>
                <w:sz w:val="21"/>
              </w:rPr>
              <w:t>项目内容</w:t>
            </w:r>
          </w:p>
        </w:tc>
        <w:tc>
          <w:tcPr>
            <w:tcW w:w="655" w:type="pct"/>
          </w:tcPr>
          <w:p w14:paraId="5909C47E">
            <w:pPr>
              <w:spacing w:after="0"/>
              <w:jc w:val="center"/>
              <w:rPr>
                <w:rFonts w:hint="eastAsia" w:eastAsiaTheme="minorEastAsia"/>
                <w:sz w:val="22"/>
              </w:rPr>
            </w:pPr>
            <w:r>
              <w:rPr>
                <w:rFonts w:eastAsia="宋体"/>
                <w:b/>
                <w:sz w:val="21"/>
              </w:rPr>
              <w:t>数量</w:t>
            </w:r>
          </w:p>
        </w:tc>
        <w:tc>
          <w:tcPr>
            <w:tcW w:w="2143" w:type="pct"/>
          </w:tcPr>
          <w:p w14:paraId="322D194E">
            <w:pPr>
              <w:spacing w:after="0"/>
              <w:jc w:val="center"/>
              <w:rPr>
                <w:rFonts w:hint="eastAsia" w:eastAsiaTheme="minorEastAsia"/>
                <w:sz w:val="22"/>
              </w:rPr>
            </w:pPr>
            <w:r>
              <w:rPr>
                <w:rFonts w:eastAsia="宋体"/>
                <w:b/>
                <w:sz w:val="21"/>
              </w:rPr>
              <w:t>实施地址</w:t>
            </w:r>
          </w:p>
        </w:tc>
        <w:tc>
          <w:tcPr>
            <w:tcW w:w="952" w:type="pct"/>
          </w:tcPr>
          <w:p w14:paraId="7A4FDF05">
            <w:pPr>
              <w:spacing w:after="0"/>
              <w:jc w:val="center"/>
              <w:rPr>
                <w:rFonts w:hint="eastAsia" w:eastAsiaTheme="minorEastAsia"/>
                <w:sz w:val="22"/>
              </w:rPr>
            </w:pPr>
            <w:r>
              <w:rPr>
                <w:rFonts w:eastAsia="宋体"/>
                <w:b/>
                <w:sz w:val="21"/>
              </w:rPr>
              <w:t>项目预算</w:t>
            </w:r>
          </w:p>
        </w:tc>
      </w:tr>
      <w:tr w14:paraId="675D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3E6DC53A">
            <w:pPr>
              <w:spacing w:after="0"/>
              <w:jc w:val="center"/>
              <w:rPr>
                <w:rFonts w:hint="eastAsia" w:eastAsiaTheme="minorEastAsia"/>
                <w:sz w:val="22"/>
              </w:rPr>
            </w:pPr>
            <w:r>
              <w:rPr>
                <w:rFonts w:eastAsia="宋体"/>
                <w:sz w:val="21"/>
              </w:rPr>
              <w:t>ACTION网站建设项目</w:t>
            </w:r>
          </w:p>
        </w:tc>
        <w:tc>
          <w:tcPr>
            <w:tcW w:w="655" w:type="pct"/>
          </w:tcPr>
          <w:p w14:paraId="3284A99F">
            <w:pPr>
              <w:spacing w:after="0"/>
              <w:jc w:val="center"/>
              <w:rPr>
                <w:rFonts w:hint="eastAsia" w:eastAsiaTheme="minorEastAsia"/>
                <w:sz w:val="22"/>
              </w:rPr>
            </w:pPr>
            <w:r>
              <w:rPr>
                <w:rFonts w:eastAsia="宋体"/>
                <w:sz w:val="21"/>
              </w:rPr>
              <w:t>一项</w:t>
            </w:r>
          </w:p>
        </w:tc>
        <w:tc>
          <w:tcPr>
            <w:tcW w:w="2143" w:type="pct"/>
          </w:tcPr>
          <w:p w14:paraId="7FEE572C">
            <w:pPr>
              <w:spacing w:after="0"/>
              <w:jc w:val="center"/>
              <w:rPr>
                <w:rFonts w:hint="eastAsia" w:eastAsiaTheme="minorEastAsia"/>
                <w:sz w:val="22"/>
                <w:lang w:eastAsia="zh-CN"/>
              </w:rPr>
            </w:pPr>
            <w:r>
              <w:rPr>
                <w:rFonts w:eastAsia="宋体"/>
                <w:sz w:val="21"/>
                <w:lang w:eastAsia="zh-CN"/>
              </w:rPr>
              <w:t>广州医科大学附属中医医院天河院区</w:t>
            </w:r>
          </w:p>
        </w:tc>
        <w:tc>
          <w:tcPr>
            <w:tcW w:w="952" w:type="pct"/>
          </w:tcPr>
          <w:p w14:paraId="05CFB8C1">
            <w:pPr>
              <w:spacing w:after="0"/>
              <w:jc w:val="center"/>
              <w:rPr>
                <w:rFonts w:hint="eastAsia" w:eastAsiaTheme="minorEastAsia"/>
                <w:sz w:val="22"/>
              </w:rPr>
            </w:pPr>
            <w:r>
              <w:rPr>
                <w:rFonts w:hint="eastAsia" w:eastAsia="宋体"/>
                <w:sz w:val="21"/>
              </w:rPr>
              <w:t>2</w:t>
            </w:r>
            <w:r>
              <w:rPr>
                <w:rFonts w:hint="eastAsia"/>
                <w:sz w:val="21"/>
                <w:lang w:val="en-US" w:eastAsia="zh-CN"/>
              </w:rPr>
              <w:t>2</w:t>
            </w:r>
            <w:r>
              <w:rPr>
                <w:rFonts w:eastAsia="宋体"/>
                <w:sz w:val="21"/>
              </w:rPr>
              <w:t>万元</w:t>
            </w:r>
          </w:p>
        </w:tc>
      </w:tr>
    </w:tbl>
    <w:p w14:paraId="78E411AD">
      <w:pPr>
        <w:spacing w:after="0" w:line="312" w:lineRule="auto"/>
        <w:rPr>
          <w:rFonts w:hint="eastAsia"/>
        </w:rPr>
      </w:pPr>
      <w:r>
        <w:rPr>
          <w:b/>
          <w:sz w:val="26"/>
        </w:rPr>
        <w:t>二、项目内容要求</w:t>
      </w:r>
    </w:p>
    <w:p w14:paraId="389637C2">
      <w:pPr>
        <w:spacing w:after="0" w:line="312" w:lineRule="auto"/>
        <w:ind w:firstLine="480" w:firstLineChars="200"/>
        <w:rPr>
          <w:rFonts w:hint="eastAsia"/>
          <w:lang w:eastAsia="zh-CN"/>
        </w:rPr>
      </w:pPr>
      <w:r>
        <w:t>为落实《广州市中医药传承创新发展示范项目实施方案》及《广州市人工智能针灸循证实验室建设方案》，围绕针刺临床研究报告规范数字化、智能化和国际化建设需求，拟建设</w:t>
      </w:r>
      <w:r>
        <w:rPr>
          <w:rFonts w:hint="default" w:ascii="Times New Roman" w:hAnsi="Times New Roman" w:cs="Times New Roman"/>
        </w:rPr>
        <w:t xml:space="preserve"> ACTION（ACupuncTure Intelligent helper ON clinical research）</w:t>
      </w:r>
      <w:r>
        <w:t>网站平台。</w:t>
      </w:r>
      <w:r>
        <w:rPr>
          <w:lang w:eastAsia="zh-CN"/>
        </w:rPr>
        <w:t>ACTION拟建设成为面向针刺临床研究的数字化资源中心，为针刺临床研究的规范报告、质量提升、方法学支持、学习培训、协作交流和证据传播提供一站式平台支持，实现报告规范资源集中管理、在线工具辅助应用、培训资源共享和学术资讯传播，提升对外服务能力和国际化传播水平。</w:t>
      </w:r>
    </w:p>
    <w:p w14:paraId="6E1CC4B0">
      <w:pPr>
        <w:spacing w:after="0" w:line="312" w:lineRule="auto"/>
        <w:ind w:firstLine="480" w:firstLineChars="200"/>
        <w:rPr>
          <w:rFonts w:hint="eastAsia"/>
          <w:lang w:eastAsia="zh-CN"/>
        </w:rPr>
      </w:pPr>
      <w:r>
        <w:rPr>
          <w:lang w:eastAsia="zh-CN"/>
        </w:rPr>
        <w:t>项目预算</w:t>
      </w:r>
      <w:r>
        <w:rPr>
          <w:rFonts w:hint="eastAsia"/>
          <w:lang w:eastAsia="zh-CN"/>
        </w:rPr>
        <w:t>25</w:t>
      </w:r>
      <w:r>
        <w:rPr>
          <w:lang w:eastAsia="zh-CN"/>
        </w:rPr>
        <w:t>万元。</w:t>
      </w:r>
    </w:p>
    <w:p w14:paraId="107B67F9">
      <w:pPr>
        <w:spacing w:after="0" w:line="312" w:lineRule="auto"/>
        <w:rPr>
          <w:rFonts w:hint="eastAsia"/>
          <w:lang w:eastAsia="zh-CN"/>
        </w:rPr>
      </w:pPr>
      <w:r>
        <w:rPr>
          <w:lang w:eastAsia="zh-CN"/>
        </w:rPr>
        <w:t>需求明细如下：</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522"/>
        <w:gridCol w:w="5377"/>
        <w:gridCol w:w="1015"/>
      </w:tblGrid>
      <w:tr w14:paraId="4671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tcPr>
          <w:p w14:paraId="76493E6F">
            <w:pPr>
              <w:spacing w:after="0"/>
              <w:jc w:val="center"/>
              <w:rPr>
                <w:rFonts w:hint="eastAsia" w:eastAsiaTheme="minorEastAsia"/>
                <w:sz w:val="22"/>
              </w:rPr>
            </w:pPr>
            <w:r>
              <w:rPr>
                <w:rFonts w:eastAsia="宋体"/>
                <w:b/>
                <w:sz w:val="20"/>
              </w:rPr>
              <w:t>序号</w:t>
            </w:r>
          </w:p>
        </w:tc>
        <w:tc>
          <w:tcPr>
            <w:tcW w:w="893" w:type="pct"/>
          </w:tcPr>
          <w:p w14:paraId="68AB3A30">
            <w:pPr>
              <w:spacing w:after="0"/>
              <w:jc w:val="center"/>
              <w:rPr>
                <w:rFonts w:hint="eastAsia" w:eastAsiaTheme="minorEastAsia"/>
                <w:sz w:val="22"/>
              </w:rPr>
            </w:pPr>
            <w:r>
              <w:rPr>
                <w:rFonts w:eastAsia="宋体"/>
                <w:b/>
                <w:sz w:val="20"/>
              </w:rPr>
              <w:t>名称</w:t>
            </w:r>
          </w:p>
        </w:tc>
        <w:tc>
          <w:tcPr>
            <w:tcW w:w="3155" w:type="pct"/>
          </w:tcPr>
          <w:p w14:paraId="502B7D3D">
            <w:pPr>
              <w:spacing w:after="0"/>
              <w:jc w:val="center"/>
              <w:rPr>
                <w:rFonts w:hint="eastAsia" w:eastAsiaTheme="minorEastAsia"/>
                <w:sz w:val="22"/>
                <w:lang w:eastAsia="zh-CN"/>
              </w:rPr>
            </w:pPr>
            <w:r>
              <w:rPr>
                <w:rFonts w:eastAsia="宋体"/>
                <w:b/>
                <w:sz w:val="20"/>
                <w:lang w:eastAsia="zh-CN"/>
              </w:rPr>
              <w:t>要求满足的功能或技术参数</w:t>
            </w:r>
          </w:p>
        </w:tc>
        <w:tc>
          <w:tcPr>
            <w:tcW w:w="595" w:type="pct"/>
          </w:tcPr>
          <w:p w14:paraId="19B7D9CE">
            <w:pPr>
              <w:spacing w:after="0"/>
              <w:jc w:val="center"/>
              <w:rPr>
                <w:rFonts w:hint="eastAsia" w:eastAsiaTheme="minorEastAsia"/>
                <w:sz w:val="22"/>
              </w:rPr>
            </w:pPr>
            <w:r>
              <w:rPr>
                <w:rFonts w:eastAsia="宋体"/>
                <w:b/>
                <w:sz w:val="20"/>
              </w:rPr>
              <w:t>数量及单位</w:t>
            </w:r>
          </w:p>
        </w:tc>
      </w:tr>
      <w:tr w14:paraId="6087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tcPr>
          <w:p w14:paraId="38429D04">
            <w:pPr>
              <w:spacing w:after="0"/>
              <w:jc w:val="center"/>
              <w:rPr>
                <w:rFonts w:hint="eastAsia" w:eastAsiaTheme="minorEastAsia"/>
                <w:sz w:val="22"/>
              </w:rPr>
            </w:pPr>
            <w:r>
              <w:rPr>
                <w:rFonts w:eastAsia="宋体"/>
                <w:sz w:val="20"/>
              </w:rPr>
              <w:t>1</w:t>
            </w:r>
          </w:p>
        </w:tc>
        <w:tc>
          <w:tcPr>
            <w:tcW w:w="893" w:type="pct"/>
          </w:tcPr>
          <w:p w14:paraId="59F4CF4C">
            <w:pPr>
              <w:spacing w:after="0"/>
              <w:jc w:val="center"/>
              <w:rPr>
                <w:rFonts w:hint="eastAsia" w:eastAsiaTheme="minorEastAsia"/>
                <w:sz w:val="22"/>
              </w:rPr>
            </w:pPr>
            <w:r>
              <w:rPr>
                <w:rFonts w:eastAsia="宋体"/>
                <w:sz w:val="20"/>
              </w:rPr>
              <w:t>ACTION官方网站</w:t>
            </w:r>
          </w:p>
        </w:tc>
        <w:tc>
          <w:tcPr>
            <w:tcW w:w="3155" w:type="pct"/>
          </w:tcPr>
          <w:p w14:paraId="11540212">
            <w:pPr>
              <w:spacing w:after="0" w:line="259" w:lineRule="auto"/>
              <w:rPr>
                <w:rFonts w:hint="eastAsia" w:eastAsiaTheme="minorEastAsia"/>
                <w:sz w:val="22"/>
                <w:lang w:eastAsia="zh-CN"/>
              </w:rPr>
            </w:pPr>
            <w:r>
              <w:rPr>
                <w:rFonts w:eastAsia="宋体"/>
                <w:sz w:val="18"/>
                <w:lang w:eastAsia="zh-CN"/>
              </w:rPr>
              <w:t>（1）基础系统搭建：技术框架搭建、前端响应式框架、后端基础架构、数据库初始化、开发环境配置；</w:t>
            </w:r>
          </w:p>
          <w:p w14:paraId="2241554D">
            <w:pPr>
              <w:spacing w:after="0" w:line="259" w:lineRule="auto"/>
              <w:rPr>
                <w:rFonts w:hint="eastAsia" w:eastAsiaTheme="minorEastAsia"/>
                <w:sz w:val="22"/>
                <w:lang w:eastAsia="zh-CN"/>
              </w:rPr>
            </w:pPr>
            <w:r>
              <w:rPr>
                <w:rFonts w:eastAsia="宋体"/>
                <w:sz w:val="18"/>
                <w:lang w:eastAsia="zh-CN"/>
              </w:rPr>
              <w:t>（2）后台管理系统：内容管理（富文本/附件/模板选择）、栏目管理、权限分级、数据备份及基础访问统计；</w:t>
            </w:r>
          </w:p>
          <w:p w14:paraId="7ED06950">
            <w:pPr>
              <w:spacing w:after="0" w:line="259" w:lineRule="auto"/>
              <w:rPr>
                <w:rFonts w:hint="eastAsia" w:eastAsiaTheme="minorEastAsia"/>
                <w:sz w:val="22"/>
                <w:lang w:eastAsia="zh-CN"/>
              </w:rPr>
            </w:pPr>
            <w:r>
              <w:rPr>
                <w:rFonts w:eastAsia="宋体"/>
                <w:sz w:val="18"/>
                <w:lang w:eastAsia="zh-CN"/>
              </w:rPr>
              <w:t>（3）首页模块：模块化展示ACTION平台介绍、搜索入口、主要介绍、最近新闻、资源中心入口等内容，并支持后台自定义展示；</w:t>
            </w:r>
          </w:p>
          <w:p w14:paraId="64F7F0A1">
            <w:pPr>
              <w:spacing w:after="0" w:line="259" w:lineRule="auto"/>
              <w:rPr>
                <w:rFonts w:hint="eastAsia" w:eastAsiaTheme="minorEastAsia"/>
                <w:sz w:val="22"/>
                <w:lang w:eastAsia="zh-CN"/>
              </w:rPr>
            </w:pPr>
            <w:r>
              <w:rPr>
                <w:rFonts w:eastAsia="宋体"/>
                <w:sz w:val="18"/>
                <w:lang w:eastAsia="zh-CN"/>
              </w:rPr>
              <w:t>（4）搜索模块：支持按关键词检索报告规范、学习资源、新闻资讯及平台内容，提供搜索结果页面和基础筛选功能；</w:t>
            </w:r>
          </w:p>
          <w:p w14:paraId="211F61DC">
            <w:pPr>
              <w:spacing w:after="0" w:line="259" w:lineRule="auto"/>
              <w:rPr>
                <w:rFonts w:hint="eastAsia" w:eastAsiaTheme="minorEastAsia"/>
                <w:sz w:val="22"/>
                <w:lang w:eastAsia="zh-CN"/>
              </w:rPr>
            </w:pPr>
            <w:r>
              <w:rPr>
                <w:rFonts w:eastAsia="宋体"/>
                <w:sz w:val="18"/>
                <w:lang w:eastAsia="zh-CN"/>
              </w:rPr>
              <w:t>（5）针刺报告规范体系模块：支持分类导航、报告规范在线预览与下载、版本管理、试点测试信息展示，以及清单、指南、模板、附件等资源管理；</w:t>
            </w:r>
          </w:p>
          <w:p w14:paraId="44F432BD">
            <w:pPr>
              <w:spacing w:after="0" w:line="259" w:lineRule="auto"/>
              <w:rPr>
                <w:rFonts w:hint="eastAsia" w:eastAsiaTheme="minorEastAsia"/>
                <w:sz w:val="22"/>
                <w:lang w:eastAsia="zh-CN"/>
              </w:rPr>
            </w:pPr>
            <w:r>
              <w:rPr>
                <w:rFonts w:eastAsia="宋体"/>
                <w:sz w:val="18"/>
                <w:lang w:eastAsia="zh-CN"/>
              </w:rPr>
              <w:t>（6）智能报告辅助工具模块：支持研究类型智能匹配、在线报告模板填写、报告内容智能校验、AI辅助撰写建议、报告导出与分享等功能；相关规则、模板和提示内容以</w:t>
            </w:r>
            <w:r>
              <w:rPr>
                <w:rFonts w:hint="eastAsia"/>
                <w:sz w:val="18"/>
                <w:lang w:eastAsia="zh-CN"/>
              </w:rPr>
              <w:t>采购人</w:t>
            </w:r>
            <w:r>
              <w:rPr>
                <w:rFonts w:eastAsia="宋体"/>
                <w:sz w:val="18"/>
                <w:lang w:eastAsia="zh-CN"/>
              </w:rPr>
              <w:t>提供资料为准，功能不涉及临床诊疗决策；</w:t>
            </w:r>
          </w:p>
          <w:p w14:paraId="12FEFD48">
            <w:pPr>
              <w:spacing w:after="0" w:line="259" w:lineRule="auto"/>
              <w:rPr>
                <w:rFonts w:hint="eastAsia" w:eastAsiaTheme="minorEastAsia"/>
                <w:sz w:val="22"/>
                <w:lang w:eastAsia="zh-CN"/>
              </w:rPr>
            </w:pPr>
            <w:r>
              <w:rPr>
                <w:rFonts w:eastAsia="宋体"/>
                <w:sz w:val="18"/>
                <w:lang w:eastAsia="zh-CN"/>
              </w:rPr>
              <w:t>（7）学习培训中心模块：支持规范解读教程、在线培训课程、案例分析库、文献数据库、常见问题（FAQ）等内容展示和后台维护；</w:t>
            </w:r>
          </w:p>
          <w:p w14:paraId="707110BD">
            <w:pPr>
              <w:spacing w:after="0" w:line="259" w:lineRule="auto"/>
              <w:rPr>
                <w:rFonts w:hint="eastAsia" w:eastAsiaTheme="minorEastAsia"/>
                <w:sz w:val="22"/>
                <w:lang w:eastAsia="zh-CN"/>
              </w:rPr>
            </w:pPr>
            <w:r>
              <w:rPr>
                <w:rFonts w:eastAsia="宋体"/>
                <w:sz w:val="18"/>
                <w:lang w:eastAsia="zh-CN"/>
              </w:rPr>
              <w:t>（8）实施科学与针刺研究模块：支持CFIR针刺智能评估与优化工具、ERIC针刺版策略智能匹配、RE-AIM针刺版转化评价等内容展示、工具入口和后台配置；</w:t>
            </w:r>
          </w:p>
          <w:p w14:paraId="2A6760A7">
            <w:pPr>
              <w:spacing w:after="0" w:line="259" w:lineRule="auto"/>
              <w:rPr>
                <w:rFonts w:hint="eastAsia" w:eastAsiaTheme="minorEastAsia"/>
                <w:sz w:val="22"/>
                <w:lang w:eastAsia="zh-CN"/>
              </w:rPr>
            </w:pPr>
            <w:r>
              <w:rPr>
                <w:rFonts w:eastAsia="宋体"/>
                <w:sz w:val="18"/>
                <w:lang w:eastAsia="zh-CN"/>
              </w:rPr>
              <w:t>（9）协作与专家咨询模块：支持专家咨询通道、用户交流论坛或留言、机构合作展示等功能，并具备必要的审核、权限控制和内容管理机制；</w:t>
            </w:r>
          </w:p>
          <w:p w14:paraId="5A807251">
            <w:pPr>
              <w:spacing w:after="0" w:line="259" w:lineRule="auto"/>
              <w:rPr>
                <w:rFonts w:hint="eastAsia" w:eastAsiaTheme="minorEastAsia"/>
                <w:sz w:val="22"/>
                <w:lang w:eastAsia="zh-CN"/>
              </w:rPr>
            </w:pPr>
            <w:r>
              <w:rPr>
                <w:rFonts w:eastAsia="宋体"/>
                <w:sz w:val="18"/>
                <w:lang w:eastAsia="zh-CN"/>
              </w:rPr>
              <w:t>（10）资讯动态模块：支持ACTION小组动态、领域新闻、学术活动、培训通知等新闻/公告/进展类列表和详情管理；</w:t>
            </w:r>
          </w:p>
          <w:p w14:paraId="2CE02881">
            <w:pPr>
              <w:spacing w:after="0" w:line="259" w:lineRule="auto"/>
              <w:rPr>
                <w:rFonts w:hint="eastAsia" w:eastAsiaTheme="minorEastAsia"/>
                <w:sz w:val="22"/>
                <w:lang w:eastAsia="zh-CN"/>
              </w:rPr>
            </w:pPr>
            <w:r>
              <w:rPr>
                <w:rFonts w:eastAsia="宋体"/>
                <w:sz w:val="18"/>
                <w:lang w:eastAsia="zh-CN"/>
              </w:rPr>
              <w:t>（11）关于我们模块：支持富文本编辑，包括平台介绍、组织架构、使命与愿景、支持ACTION、联系方式、学术与方法学声明、数据来源、免责声明、隐私政策与使用条款等多个页面；</w:t>
            </w:r>
          </w:p>
          <w:p w14:paraId="6C75F02D">
            <w:pPr>
              <w:spacing w:after="0" w:line="259" w:lineRule="auto"/>
              <w:rPr>
                <w:rFonts w:hint="eastAsia" w:eastAsiaTheme="minorEastAsia"/>
                <w:sz w:val="22"/>
                <w:lang w:eastAsia="zh-CN"/>
              </w:rPr>
            </w:pPr>
            <w:r>
              <w:rPr>
                <w:rFonts w:eastAsia="宋体"/>
                <w:sz w:val="18"/>
                <w:lang w:eastAsia="zh-CN"/>
              </w:rPr>
              <w:t>（12）双语模块：所有可编辑内容支持中英文独立录入与存储，前台语言切换及双语URL路由配置；</w:t>
            </w:r>
          </w:p>
          <w:p w14:paraId="3DFCE8A1">
            <w:pPr>
              <w:spacing w:after="0" w:line="259" w:lineRule="auto"/>
              <w:rPr>
                <w:rFonts w:hint="eastAsia" w:eastAsiaTheme="minorEastAsia"/>
                <w:sz w:val="22"/>
                <w:lang w:eastAsia="zh-CN"/>
              </w:rPr>
            </w:pPr>
            <w:r>
              <w:rPr>
                <w:rFonts w:eastAsia="宋体"/>
                <w:sz w:val="18"/>
                <w:lang w:eastAsia="zh-CN"/>
              </w:rPr>
              <w:t>（13）测试：兼容测试（Chrome/Edge/手机端等）、性能调优、多端测试及上线前联调；</w:t>
            </w:r>
          </w:p>
          <w:p w14:paraId="6AD8F460">
            <w:pPr>
              <w:spacing w:after="0" w:line="259" w:lineRule="auto"/>
              <w:rPr>
                <w:rFonts w:hint="eastAsia" w:eastAsiaTheme="minorEastAsia"/>
                <w:sz w:val="22"/>
                <w:lang w:eastAsia="zh-CN"/>
              </w:rPr>
            </w:pPr>
            <w:r>
              <w:rPr>
                <w:rFonts w:eastAsia="宋体"/>
                <w:sz w:val="18"/>
                <w:lang w:eastAsia="zh-CN"/>
              </w:rPr>
              <w:t>（14）UI设计：完成网站页面设计及移动端适配，页面数量以</w:t>
            </w:r>
            <w:r>
              <w:rPr>
                <w:rFonts w:hint="eastAsia"/>
                <w:sz w:val="18"/>
                <w:lang w:eastAsia="zh-CN"/>
              </w:rPr>
              <w:t>采购人</w:t>
            </w:r>
            <w:r>
              <w:rPr>
                <w:rFonts w:eastAsia="宋体"/>
                <w:sz w:val="18"/>
                <w:lang w:eastAsia="zh-CN"/>
              </w:rPr>
              <w:t>最终确认的信息架构和页面清单为准；</w:t>
            </w:r>
          </w:p>
          <w:p w14:paraId="00960AA5">
            <w:pPr>
              <w:spacing w:after="0" w:line="259" w:lineRule="auto"/>
              <w:rPr>
                <w:rFonts w:hint="eastAsia" w:eastAsiaTheme="minorEastAsia"/>
                <w:sz w:val="22"/>
                <w:lang w:eastAsia="zh-CN"/>
              </w:rPr>
            </w:pPr>
            <w:r>
              <w:rPr>
                <w:rFonts w:eastAsia="宋体"/>
                <w:sz w:val="18"/>
                <w:lang w:eastAsia="zh-CN"/>
              </w:rPr>
              <w:t>（15）Logo设计：设计适配ACTION网站界面的Logo及基础视觉元素；</w:t>
            </w:r>
          </w:p>
          <w:p w14:paraId="74BA1922">
            <w:pPr>
              <w:spacing w:after="0" w:line="259" w:lineRule="auto"/>
              <w:rPr>
                <w:rFonts w:hint="eastAsia" w:eastAsiaTheme="minorEastAsia"/>
                <w:sz w:val="22"/>
                <w:lang w:eastAsia="zh-CN"/>
              </w:rPr>
            </w:pPr>
            <w:r>
              <w:rPr>
                <w:rFonts w:eastAsia="宋体"/>
                <w:sz w:val="18"/>
                <w:lang w:eastAsia="zh-CN"/>
              </w:rPr>
              <w:t>（16）云基础设施部署：云服务器、CDN加速、域名注册、DNS解析、SSL证书配置；</w:t>
            </w:r>
          </w:p>
          <w:p w14:paraId="74D28526">
            <w:pPr>
              <w:spacing w:after="0" w:line="259" w:lineRule="auto"/>
              <w:rPr>
                <w:rFonts w:hint="eastAsia" w:eastAsiaTheme="minorEastAsia"/>
                <w:sz w:val="22"/>
                <w:lang w:eastAsia="zh-CN"/>
              </w:rPr>
            </w:pPr>
            <w:r>
              <w:rPr>
                <w:rFonts w:eastAsia="宋体"/>
                <w:sz w:val="18"/>
                <w:lang w:eastAsia="zh-CN"/>
              </w:rPr>
              <w:t>（17）网站安全防护配置：WAF防火墙等基础安全防护部署，支持账号权限、后台登录安全和数据备份；</w:t>
            </w:r>
          </w:p>
          <w:p w14:paraId="34A48CE9">
            <w:pPr>
              <w:spacing w:after="0" w:line="259" w:lineRule="auto"/>
              <w:rPr>
                <w:rFonts w:hint="eastAsia" w:eastAsiaTheme="minorEastAsia"/>
                <w:sz w:val="22"/>
                <w:lang w:eastAsia="zh-CN"/>
              </w:rPr>
            </w:pPr>
            <w:r>
              <w:rPr>
                <w:rFonts w:eastAsia="宋体"/>
                <w:sz w:val="18"/>
                <w:lang w:eastAsia="zh-CN"/>
              </w:rPr>
              <w:t>（18）网络安全与合规：协助完成网络安全等级保护测评及相关材料准备（一站式服务），并配合采购人完成必要的信息安全整改。</w:t>
            </w:r>
          </w:p>
        </w:tc>
        <w:tc>
          <w:tcPr>
            <w:tcW w:w="595" w:type="pct"/>
          </w:tcPr>
          <w:p w14:paraId="459D3E69">
            <w:pPr>
              <w:spacing w:after="0"/>
              <w:jc w:val="center"/>
              <w:rPr>
                <w:rFonts w:hint="eastAsia" w:eastAsiaTheme="minorEastAsia"/>
                <w:sz w:val="22"/>
              </w:rPr>
            </w:pPr>
            <w:r>
              <w:rPr>
                <w:rFonts w:eastAsia="宋体"/>
                <w:sz w:val="20"/>
              </w:rPr>
              <w:t>1套</w:t>
            </w:r>
          </w:p>
        </w:tc>
      </w:tr>
    </w:tbl>
    <w:p w14:paraId="4348B8B5">
      <w:pPr>
        <w:spacing w:after="0" w:line="312" w:lineRule="auto"/>
        <w:rPr>
          <w:rFonts w:hint="eastAsia"/>
        </w:rPr>
      </w:pPr>
      <w:r>
        <w:rPr>
          <w:b/>
          <w:sz w:val="26"/>
        </w:rPr>
        <w:t>三、项目实施要求</w:t>
      </w:r>
    </w:p>
    <w:p w14:paraId="7E7C0260">
      <w:pPr>
        <w:spacing w:after="0" w:line="312" w:lineRule="auto"/>
        <w:rPr>
          <w:rFonts w:hint="eastAsia"/>
          <w:lang w:eastAsia="zh-CN"/>
        </w:rPr>
      </w:pPr>
      <w:r>
        <w:rPr>
          <w:b/>
          <w:lang w:eastAsia="zh-CN"/>
        </w:rPr>
        <w:t>（一）交货期、交货地点</w:t>
      </w:r>
    </w:p>
    <w:p w14:paraId="7D38FAA3">
      <w:pPr>
        <w:spacing w:after="0" w:line="312" w:lineRule="auto"/>
        <w:ind w:firstLine="420"/>
        <w:rPr>
          <w:rFonts w:hint="eastAsia"/>
          <w:lang w:eastAsia="zh-CN"/>
        </w:rPr>
      </w:pPr>
      <w:r>
        <w:rPr>
          <w:lang w:eastAsia="zh-CN"/>
        </w:rPr>
        <w:t>1、交货期：合同签订生效之日</w:t>
      </w:r>
      <w:r>
        <w:rPr>
          <w:highlight w:val="none"/>
          <w:lang w:eastAsia="zh-CN"/>
        </w:rPr>
        <w:t>起30个自</w:t>
      </w:r>
      <w:r>
        <w:rPr>
          <w:lang w:eastAsia="zh-CN"/>
        </w:rPr>
        <w:t>然日内，完成ACTION网站建设，包括网站设计、搭建、安装、部署、调试、试运行及软件系统的部署、联调等。如有特殊情况，可经双方协商确认后延迟。</w:t>
      </w:r>
      <w:bookmarkStart w:id="1" w:name="_GoBack"/>
      <w:bookmarkEnd w:id="1"/>
    </w:p>
    <w:p w14:paraId="15839B4E">
      <w:pPr>
        <w:spacing w:after="0" w:line="312" w:lineRule="auto"/>
        <w:ind w:firstLine="420"/>
        <w:rPr>
          <w:rFonts w:hint="eastAsia"/>
          <w:lang w:eastAsia="zh-CN"/>
        </w:rPr>
      </w:pPr>
      <w:r>
        <w:rPr>
          <w:lang w:eastAsia="zh-CN"/>
        </w:rPr>
        <w:t>2、交货地点：广州医科大学附属中医医院。</w:t>
      </w:r>
    </w:p>
    <w:p w14:paraId="4FCAC63F">
      <w:pPr>
        <w:spacing w:after="0" w:line="312" w:lineRule="auto"/>
        <w:rPr>
          <w:rFonts w:hint="eastAsia"/>
          <w:lang w:eastAsia="zh-CN"/>
        </w:rPr>
      </w:pPr>
      <w:r>
        <w:rPr>
          <w:b/>
          <w:lang w:eastAsia="zh-CN"/>
        </w:rPr>
        <w:t>（二）交货要求</w:t>
      </w:r>
    </w:p>
    <w:p w14:paraId="450149A7">
      <w:pPr>
        <w:spacing w:after="0" w:line="312" w:lineRule="auto"/>
        <w:ind w:firstLine="420"/>
        <w:rPr>
          <w:rFonts w:hint="eastAsia"/>
          <w:lang w:eastAsia="zh-CN"/>
        </w:rPr>
      </w:pPr>
      <w:r>
        <w:rPr>
          <w:lang w:eastAsia="zh-CN"/>
        </w:rPr>
        <w:t>1、投标人以定制化软件开发方式提供服务，包括需求确认、系统设计、功能开发、测试、部署及交付。</w:t>
      </w:r>
    </w:p>
    <w:p w14:paraId="35C2314D">
      <w:pPr>
        <w:spacing w:after="0" w:line="312" w:lineRule="auto"/>
        <w:ind w:firstLine="420"/>
        <w:rPr>
          <w:rFonts w:hint="eastAsia"/>
          <w:lang w:eastAsia="zh-CN"/>
        </w:rPr>
      </w:pPr>
      <w:r>
        <w:rPr>
          <w:lang w:eastAsia="zh-CN"/>
        </w:rPr>
        <w:t>2、投标人以网站/平台系统形式交付，包括前端页面、后台管理功能、数据库、部署环境配置、系统使用说明和必要的技术文档。</w:t>
      </w:r>
    </w:p>
    <w:p w14:paraId="487D32D7">
      <w:pPr>
        <w:spacing w:after="0" w:line="312" w:lineRule="auto"/>
        <w:rPr>
          <w:rFonts w:hint="eastAsia"/>
          <w:lang w:eastAsia="zh-CN"/>
        </w:rPr>
      </w:pPr>
      <w:r>
        <w:rPr>
          <w:b/>
          <w:lang w:eastAsia="zh-CN"/>
        </w:rPr>
        <w:t>（三）安装部署要求</w:t>
      </w:r>
    </w:p>
    <w:p w14:paraId="70F83046">
      <w:pPr>
        <w:spacing w:after="0" w:line="312" w:lineRule="auto"/>
        <w:ind w:firstLine="420"/>
        <w:rPr>
          <w:rFonts w:hint="eastAsia"/>
          <w:lang w:eastAsia="zh-CN"/>
        </w:rPr>
      </w:pPr>
      <w:r>
        <w:rPr>
          <w:lang w:eastAsia="zh-CN"/>
        </w:rPr>
        <w:t>云端部署：云基础设施（具体云平台以采购人最终确认为准）。配置要求包括：云服务器4核vCPU、8GB内存；系统盘40GB起（SSD）；数据盘100GB；网络带宽按量付费；CDN用于静态资源加速并支持HTTPS；1个主域名，含DNS解析服务；SSL证书支持DV或OV类型，兼容主流浏览器；网站安全防护配置WAF类基础安全防护。部署要求：完成网站系统部署、数据库部署、域名解析、证书配置、后台管理系统开通、上线测试及运行环境交接。</w:t>
      </w:r>
    </w:p>
    <w:p w14:paraId="4EE33D58">
      <w:pPr>
        <w:spacing w:after="0" w:line="312" w:lineRule="auto"/>
        <w:rPr>
          <w:rFonts w:hint="eastAsia"/>
          <w:lang w:eastAsia="zh-CN"/>
        </w:rPr>
      </w:pPr>
      <w:r>
        <w:rPr>
          <w:b/>
          <w:lang w:eastAsia="zh-CN"/>
        </w:rPr>
        <w:t>（四）培训要求</w:t>
      </w:r>
    </w:p>
    <w:p w14:paraId="2C47BB5D">
      <w:pPr>
        <w:spacing w:after="0" w:line="312" w:lineRule="auto"/>
        <w:ind w:firstLine="420"/>
        <w:rPr>
          <w:rFonts w:hint="eastAsia"/>
          <w:lang w:eastAsia="zh-CN"/>
        </w:rPr>
      </w:pPr>
      <w:r>
        <w:rPr>
          <w:lang w:eastAsia="zh-CN"/>
        </w:rPr>
        <w:t>1、如采购人有需要，投标人必须派专业技术人员现场培训使用人员，对网站和软件系统的操作、注意事项、日常维护等内容进行详细培训，由此产生的费用均由投标人承担。</w:t>
      </w:r>
    </w:p>
    <w:p w14:paraId="75882660">
      <w:pPr>
        <w:spacing w:after="0" w:line="312" w:lineRule="auto"/>
        <w:ind w:firstLine="420"/>
        <w:rPr>
          <w:rFonts w:hint="eastAsia"/>
          <w:lang w:eastAsia="zh-CN"/>
        </w:rPr>
      </w:pPr>
      <w:r>
        <w:rPr>
          <w:lang w:eastAsia="zh-CN"/>
        </w:rPr>
        <w:t>2、投标人必须为所有被培训人员提供培训用文字资料和讲义等相关用品，所有资料使用中文书写。</w:t>
      </w:r>
    </w:p>
    <w:p w14:paraId="35FDB53A">
      <w:pPr>
        <w:spacing w:after="0" w:line="312" w:lineRule="auto"/>
        <w:ind w:firstLine="420"/>
        <w:rPr>
          <w:rFonts w:hint="eastAsia"/>
          <w:lang w:eastAsia="zh-CN"/>
        </w:rPr>
      </w:pPr>
      <w:r>
        <w:rPr>
          <w:lang w:eastAsia="zh-CN"/>
        </w:rPr>
        <w:t>3、根据使用单位的系统管理人员、业务人员分别提供有针对性的培训计划。</w:t>
      </w:r>
    </w:p>
    <w:p w14:paraId="184B6B1C">
      <w:pPr>
        <w:spacing w:after="0" w:line="312" w:lineRule="auto"/>
        <w:rPr>
          <w:rFonts w:hint="eastAsia"/>
          <w:lang w:eastAsia="zh-CN"/>
        </w:rPr>
      </w:pPr>
      <w:r>
        <w:rPr>
          <w:b/>
          <w:sz w:val="26"/>
          <w:lang w:eastAsia="zh-CN"/>
        </w:rPr>
        <w:t>四、项目服务要求</w:t>
      </w:r>
    </w:p>
    <w:p w14:paraId="0BCA157E">
      <w:pPr>
        <w:spacing w:after="0" w:line="312" w:lineRule="auto"/>
        <w:ind w:firstLine="420"/>
        <w:rPr>
          <w:rFonts w:hint="eastAsia"/>
          <w:lang w:eastAsia="zh-CN"/>
        </w:rPr>
      </w:pPr>
      <w:r>
        <w:rPr>
          <w:lang w:eastAsia="zh-CN"/>
        </w:rPr>
        <w:t>1、免费维保服务至少1年，并对采购人使用过程中出现的故障及技术问题免费提供维保服务。</w:t>
      </w:r>
    </w:p>
    <w:p w14:paraId="26BBAD01">
      <w:pPr>
        <w:spacing w:after="0" w:line="312" w:lineRule="auto"/>
        <w:ind w:firstLine="420"/>
        <w:rPr>
          <w:rFonts w:hint="eastAsia"/>
          <w:lang w:eastAsia="zh-CN"/>
        </w:rPr>
      </w:pPr>
      <w:r>
        <w:rPr>
          <w:lang w:eastAsia="zh-CN"/>
        </w:rPr>
        <w:t>2、在1年质保期内，须为本项目提供全面保障，以确保网站及系统的稳定运行。</w:t>
      </w:r>
    </w:p>
    <w:p w14:paraId="6CC3CC57">
      <w:pPr>
        <w:spacing w:after="0" w:line="312" w:lineRule="auto"/>
        <w:ind w:firstLine="420"/>
        <w:rPr>
          <w:rFonts w:hint="eastAsia"/>
          <w:lang w:eastAsia="zh-CN"/>
        </w:rPr>
      </w:pPr>
      <w:r>
        <w:rPr>
          <w:lang w:eastAsia="zh-CN"/>
        </w:rPr>
        <w:t>3、提供7×24小时服务热线，接到维修通知后12小时内响应，在5个自然日内排除故障。若故障影响系统正常使用，应及时提供临时解决方案，直至故障处理完毕。</w:t>
      </w:r>
    </w:p>
    <w:p w14:paraId="6BDB6F85">
      <w:pPr>
        <w:spacing w:after="0" w:line="312" w:lineRule="auto"/>
        <w:ind w:firstLine="420"/>
        <w:rPr>
          <w:rFonts w:hint="eastAsia"/>
          <w:lang w:eastAsia="zh-CN"/>
        </w:rPr>
      </w:pPr>
      <w:r>
        <w:rPr>
          <w:lang w:eastAsia="zh-CN"/>
        </w:rPr>
        <w:t>4、质保期内，如网站因非人为因素出现故障而造成短期停用时，则质保期和免费维修期相应顺延。如停用时间累计超过60天，则质保期重新计算。</w:t>
      </w:r>
    </w:p>
    <w:p w14:paraId="645554A1">
      <w:pPr>
        <w:spacing w:after="0" w:line="312" w:lineRule="auto"/>
        <w:ind w:firstLine="420"/>
        <w:rPr>
          <w:rFonts w:hint="eastAsia"/>
          <w:lang w:eastAsia="zh-CN"/>
        </w:rPr>
      </w:pPr>
      <w:r>
        <w:rPr>
          <w:lang w:eastAsia="zh-CN"/>
        </w:rPr>
        <w:t>5、投标人为采购人提供的所有软件享有永久免费升级服务。涉及新增功能、重大版本重构或第三方服务新增费用的，双方可另行协商。</w:t>
      </w:r>
    </w:p>
    <w:p w14:paraId="2CA4BF31">
      <w:pPr>
        <w:spacing w:after="0" w:line="312" w:lineRule="auto"/>
        <w:ind w:firstLine="420"/>
        <w:rPr>
          <w:rFonts w:hint="eastAsia"/>
          <w:lang w:eastAsia="zh-CN"/>
        </w:rPr>
      </w:pPr>
      <w:r>
        <w:rPr>
          <w:lang w:eastAsia="zh-CN"/>
        </w:rPr>
        <w:t>6、投标人应配合采购人开展日常内容维护、后台使用咨询、系统安全检查、数据备份恢复及上线后功能优化。</w:t>
      </w:r>
    </w:p>
    <w:p w14:paraId="3EC1DCF1">
      <w:pPr>
        <w:spacing w:after="0" w:line="312" w:lineRule="auto"/>
        <w:rPr>
          <w:rFonts w:hint="eastAsia"/>
          <w:lang w:eastAsia="zh-CN"/>
        </w:rPr>
      </w:pPr>
      <w:r>
        <w:rPr>
          <w:b/>
          <w:sz w:val="26"/>
          <w:lang w:eastAsia="zh-CN"/>
        </w:rPr>
        <w:t>五、项目验收要求</w:t>
      </w:r>
    </w:p>
    <w:p w14:paraId="4E89AC77">
      <w:pPr>
        <w:spacing w:after="0" w:line="312" w:lineRule="auto"/>
        <w:ind w:firstLine="420"/>
        <w:rPr>
          <w:rFonts w:hint="eastAsia"/>
          <w:lang w:eastAsia="zh-CN"/>
        </w:rPr>
      </w:pPr>
      <w:r>
        <w:rPr>
          <w:lang w:eastAsia="zh-CN"/>
        </w:rPr>
        <w:t>1、整体验收按国家有关的规定、规范进行，投标人按照采购人总项目的总体调试、验收要求，在项目建设完毕后，由采购人组织验收人员参与验收。</w:t>
      </w:r>
    </w:p>
    <w:p w14:paraId="44209A14">
      <w:pPr>
        <w:spacing w:after="0" w:line="312" w:lineRule="auto"/>
        <w:ind w:firstLine="420"/>
        <w:rPr>
          <w:rFonts w:hint="eastAsia"/>
          <w:lang w:eastAsia="zh-CN"/>
        </w:rPr>
      </w:pPr>
      <w:r>
        <w:rPr>
          <w:lang w:eastAsia="zh-CN"/>
        </w:rPr>
        <w:t>2、网站若有国家标准按照国家标准验收，若无国家标准按行业标准验收。网站整体应无侵权行为、无任何缺陷隐患，在中国境内可依常规安全合法使用，同时符合项目要求：</w:t>
      </w:r>
    </w:p>
    <w:p w14:paraId="2E8546BE">
      <w:pPr>
        <w:spacing w:after="0" w:line="312" w:lineRule="auto"/>
        <w:ind w:firstLine="420"/>
        <w:rPr>
          <w:rFonts w:hint="eastAsia"/>
          <w:lang w:eastAsia="zh-CN"/>
        </w:rPr>
      </w:pPr>
      <w:r>
        <w:rPr>
          <w:lang w:eastAsia="zh-CN"/>
        </w:rPr>
        <w:t>（1）满足合同和采购需求中列举的全部要求；</w:t>
      </w:r>
    </w:p>
    <w:p w14:paraId="21101868">
      <w:pPr>
        <w:spacing w:after="0" w:line="312" w:lineRule="auto"/>
        <w:ind w:firstLine="420"/>
        <w:rPr>
          <w:rFonts w:hint="eastAsia"/>
          <w:lang w:eastAsia="zh-CN"/>
        </w:rPr>
      </w:pPr>
      <w:r>
        <w:rPr>
          <w:lang w:eastAsia="zh-CN"/>
        </w:rPr>
        <w:t>（2）实现合同和采购需求中列举的全部功能和非功能要求；</w:t>
      </w:r>
    </w:p>
    <w:p w14:paraId="2DFF5C88">
      <w:pPr>
        <w:spacing w:after="0" w:line="312" w:lineRule="auto"/>
        <w:ind w:firstLine="420"/>
        <w:rPr>
          <w:rFonts w:hint="eastAsia"/>
          <w:lang w:eastAsia="zh-CN"/>
        </w:rPr>
      </w:pPr>
      <w:r>
        <w:rPr>
          <w:lang w:eastAsia="zh-CN"/>
        </w:rPr>
        <w:t>（3）达到合同和采购需求中列举的全部指标；</w:t>
      </w:r>
    </w:p>
    <w:p w14:paraId="49A68C45">
      <w:pPr>
        <w:spacing w:after="0" w:line="312" w:lineRule="auto"/>
        <w:ind w:firstLine="420"/>
        <w:rPr>
          <w:rFonts w:hint="eastAsia"/>
          <w:lang w:eastAsia="zh-CN"/>
        </w:rPr>
      </w:pPr>
      <w:r>
        <w:rPr>
          <w:lang w:eastAsia="zh-CN"/>
        </w:rPr>
        <w:t>（4）前台页面、移动端适配、后台管理、双语内容管理、资源上传下载、搜索检索、在线工具入口、咨询/留言审核、新闻发布等核心功能可正常使用；</w:t>
      </w:r>
    </w:p>
    <w:p w14:paraId="2A35148A">
      <w:pPr>
        <w:spacing w:after="0" w:line="312" w:lineRule="auto"/>
        <w:ind w:firstLine="420"/>
        <w:rPr>
          <w:rFonts w:hint="eastAsia"/>
          <w:lang w:eastAsia="zh-CN"/>
        </w:rPr>
      </w:pPr>
      <w:r>
        <w:rPr>
          <w:lang w:eastAsia="zh-CN"/>
        </w:rPr>
        <w:t>（5）完成部署、测试、培训、技术文档移交和后台账号交接。</w:t>
      </w:r>
    </w:p>
    <w:p w14:paraId="33660AA7">
      <w:pPr>
        <w:spacing w:after="0" w:line="312" w:lineRule="auto"/>
        <w:rPr>
          <w:rFonts w:hint="eastAsia"/>
          <w:lang w:eastAsia="zh-CN"/>
        </w:rPr>
      </w:pPr>
      <w:r>
        <w:rPr>
          <w:b/>
          <w:sz w:val="26"/>
          <w:lang w:eastAsia="zh-CN"/>
        </w:rPr>
        <w:t>六、结算及付款方式</w:t>
      </w:r>
    </w:p>
    <w:p w14:paraId="6524C79D">
      <w:pPr>
        <w:spacing w:after="0" w:line="312" w:lineRule="auto"/>
        <w:ind w:firstLine="420"/>
        <w:rPr>
          <w:rFonts w:hint="eastAsia"/>
          <w:lang w:eastAsia="zh-CN"/>
        </w:rPr>
      </w:pPr>
      <w:r>
        <w:rPr>
          <w:lang w:eastAsia="zh-CN"/>
        </w:rPr>
        <w:t>1、合同签订生效之日起，采购人收到发票后5个工作日内办理首款的支付手续，支付金额为合同总金额的50%。</w:t>
      </w:r>
    </w:p>
    <w:p w14:paraId="5D634B07">
      <w:pPr>
        <w:spacing w:after="0" w:line="312" w:lineRule="auto"/>
        <w:ind w:firstLine="420"/>
        <w:rPr>
          <w:rFonts w:hint="eastAsia"/>
          <w:lang w:eastAsia="zh-CN"/>
        </w:rPr>
      </w:pPr>
      <w:r>
        <w:rPr>
          <w:lang w:eastAsia="zh-CN"/>
        </w:rPr>
        <w:t>2、项目建设完成且验收合格，双方签署《验收报告》，采购人收到发票后5个工作日内办理尾款的支付手续，支付金额为合同总金额的50%。</w:t>
      </w:r>
    </w:p>
    <w:p w14:paraId="239CE68A">
      <w:pPr>
        <w:spacing w:after="0" w:line="312" w:lineRule="auto"/>
        <w:ind w:firstLine="420"/>
        <w:rPr>
          <w:rFonts w:hint="eastAsia"/>
          <w:lang w:eastAsia="zh-CN"/>
        </w:rPr>
      </w:pPr>
      <w:r>
        <w:rPr>
          <w:lang w:eastAsia="zh-CN"/>
        </w:rPr>
        <w:t>3、投标人需开具符合国家财务规定的等额发票交给采购人，若延迟提交发票，则采购人付款时间后延且无需承担违约责任。</w:t>
      </w:r>
    </w:p>
    <w:p w14:paraId="6FF5796A">
      <w:pPr>
        <w:spacing w:after="0" w:line="312" w:lineRule="auto"/>
        <w:ind w:firstLine="420"/>
        <w:rPr>
          <w:rFonts w:hint="eastAsia"/>
          <w:lang w:eastAsia="zh-CN"/>
        </w:rPr>
      </w:pPr>
      <w:r>
        <w:rPr>
          <w:lang w:eastAsia="zh-CN"/>
        </w:rPr>
        <w:t>4、本项目资金来源为财政资金，具体支付进度和支付比例根据财政资金下达情况适当调整。如因财政资金未下达导致无法准时支付款项，采购人无需承担违约责任。</w:t>
      </w:r>
    </w:p>
    <w:p w14:paraId="22498ECB">
      <w:pPr>
        <w:spacing w:after="0" w:line="312" w:lineRule="auto"/>
        <w:rPr>
          <w:rFonts w:hint="eastAsia"/>
          <w:lang w:eastAsia="zh-CN"/>
        </w:rPr>
      </w:pPr>
      <w:r>
        <w:rPr>
          <w:b/>
          <w:sz w:val="26"/>
          <w:lang w:eastAsia="zh-CN"/>
        </w:rPr>
        <w:t>七、违约责任</w:t>
      </w:r>
    </w:p>
    <w:p w14:paraId="13156931">
      <w:pPr>
        <w:spacing w:after="0" w:line="312" w:lineRule="auto"/>
        <w:ind w:firstLine="420"/>
        <w:rPr>
          <w:rFonts w:hint="eastAsia"/>
          <w:lang w:eastAsia="zh-CN"/>
        </w:rPr>
      </w:pPr>
      <w:r>
        <w:rPr>
          <w:lang w:eastAsia="zh-CN"/>
        </w:rPr>
        <w:t>1、投标人逾期交付货物的，每逾期1天交付，投标人需缴纳逾期交付该项目货款项1%的罚款，逾期超过20个自然日的，采购人有权单方面按合同违约条款终止合同，并报监管部门处理，由此引起的一切后果，由投标人承担。</w:t>
      </w:r>
    </w:p>
    <w:p w14:paraId="125BD4E9">
      <w:pPr>
        <w:spacing w:after="0" w:line="312" w:lineRule="auto"/>
        <w:ind w:firstLine="420"/>
        <w:rPr>
          <w:rFonts w:hint="eastAsia"/>
          <w:lang w:eastAsia="zh-CN"/>
        </w:rPr>
      </w:pPr>
      <w:r>
        <w:rPr>
          <w:lang w:eastAsia="zh-CN"/>
        </w:rPr>
        <w:t>2、投标人所交的网站不符合合同规定或双方确认的技术文件的，采购人有权拒收。投标人向采购人支付该项目货款总额的10%违约金。</w:t>
      </w:r>
    </w:p>
    <w:p w14:paraId="7C0168FF">
      <w:pPr>
        <w:spacing w:after="0" w:line="312" w:lineRule="auto"/>
        <w:ind w:firstLine="420"/>
        <w:rPr>
          <w:rFonts w:hint="eastAsia"/>
          <w:lang w:eastAsia="zh-CN"/>
        </w:rPr>
      </w:pPr>
      <w:r>
        <w:rPr>
          <w:lang w:eastAsia="zh-CN"/>
        </w:rPr>
        <w:t>3、如投标人所交货物未能通过验收，采购人有权（而非有义务）指定一定期限作为整改期，由投标人在整改期内进行整改。如整改期内仍无法通过验收，采购人有权终止合同，并向投标人追索该批货款项金额5%作为罚款，因此而导致的一切损失由投标人承担。</w:t>
      </w:r>
    </w:p>
    <w:p w14:paraId="70290A16">
      <w:pPr>
        <w:spacing w:after="0" w:line="312" w:lineRule="auto"/>
        <w:ind w:firstLine="420"/>
        <w:rPr>
          <w:rFonts w:hint="eastAsia"/>
          <w:lang w:eastAsia="zh-CN"/>
        </w:rPr>
      </w:pPr>
      <w:r>
        <w:rPr>
          <w:lang w:eastAsia="zh-CN"/>
        </w:rPr>
        <w:t>4、因采购人违约造成合同终止，前期采购人已支付给投标人的款项，投标人可不退还采购人；如因投标人原因造成合同终止，投标人需将前期采购人已支付给投标人的款项退还采购人。</w:t>
      </w:r>
    </w:p>
    <w:p w14:paraId="39EB98A6">
      <w:pPr>
        <w:spacing w:after="0" w:line="312" w:lineRule="auto"/>
        <w:ind w:firstLine="420"/>
        <w:rPr>
          <w:rFonts w:hint="eastAsia"/>
          <w:lang w:eastAsia="zh-CN"/>
        </w:rPr>
      </w:pPr>
      <w:r>
        <w:rPr>
          <w:lang w:eastAsia="zh-CN"/>
        </w:rPr>
        <w:t>5、如采购人未按合同规定时间办理支付投标人款项手续的，投标人将给予采购人7个自然日的宽限期，宽限期过后之日起，每逾期1天，投标人向采购人追索合同金额0.1‰的违约金；累计违约金不超过合同金额的1%。</w:t>
      </w:r>
    </w:p>
    <w:p w14:paraId="36C88753">
      <w:pPr>
        <w:spacing w:after="0" w:line="312" w:lineRule="auto"/>
        <w:rPr>
          <w:rFonts w:hint="eastAsia"/>
          <w:lang w:eastAsia="zh-CN"/>
        </w:rPr>
      </w:pPr>
      <w:r>
        <w:rPr>
          <w:b/>
          <w:sz w:val="26"/>
          <w:lang w:eastAsia="zh-CN"/>
        </w:rPr>
        <w:t>八、争议解决</w:t>
      </w:r>
    </w:p>
    <w:p w14:paraId="3B85BD24">
      <w:pPr>
        <w:spacing w:after="0" w:line="312" w:lineRule="auto"/>
        <w:ind w:firstLine="420"/>
        <w:rPr>
          <w:rFonts w:hint="eastAsia"/>
          <w:lang w:eastAsia="zh-CN"/>
        </w:rPr>
      </w:pPr>
      <w:r>
        <w:rPr>
          <w:lang w:eastAsia="zh-CN"/>
        </w:rPr>
        <w:t>争议的解决：合同执行过程中发生的任何争议，如双方不能通过友好协商解决，可向采购人所在地有管辖权的人民法院提起诉讼。</w:t>
      </w:r>
    </w:p>
    <w:p w14:paraId="6C67343C">
      <w:pPr>
        <w:spacing w:after="0" w:line="312" w:lineRule="auto"/>
        <w:rPr>
          <w:rFonts w:hint="eastAsia"/>
          <w:lang w:eastAsia="zh-CN"/>
        </w:rPr>
      </w:pPr>
      <w:r>
        <w:rPr>
          <w:b/>
          <w:sz w:val="26"/>
          <w:lang w:eastAsia="zh-CN"/>
        </w:rPr>
        <w:t>九、不可抗力</w:t>
      </w:r>
    </w:p>
    <w:p w14:paraId="00693FAE">
      <w:pPr>
        <w:spacing w:after="0" w:line="312" w:lineRule="auto"/>
        <w:ind w:firstLine="420"/>
        <w:rPr>
          <w:rFonts w:hint="eastAsia"/>
          <w:lang w:eastAsia="zh-CN"/>
        </w:rPr>
      </w:pPr>
      <w:r>
        <w:rPr>
          <w:lang w:eastAsia="zh-CN"/>
        </w:rPr>
        <w:t>任何一方由于不可抗力原因不能履行合同时，应在不可抗力事件结束后1个自然日内向对方通报，以减轻可能给对方造成的损失。在取得有关机构的不可抗力证明或双方谅解确认后，允许延期履行或修订合同，并根据情况可部分或全部免于承担违约责任。</w:t>
      </w:r>
    </w:p>
    <w:p w14:paraId="4087ABC3">
      <w:pPr>
        <w:spacing w:after="0" w:line="312" w:lineRule="auto"/>
        <w:rPr>
          <w:rFonts w:hint="eastAsia"/>
          <w:lang w:eastAsia="zh-CN"/>
        </w:rPr>
      </w:pPr>
      <w:r>
        <w:rPr>
          <w:b/>
          <w:sz w:val="26"/>
          <w:lang w:eastAsia="zh-CN"/>
        </w:rPr>
        <w:t>十、税费</w:t>
      </w:r>
    </w:p>
    <w:p w14:paraId="7CEF4FF8">
      <w:pPr>
        <w:spacing w:after="0" w:line="312" w:lineRule="auto"/>
        <w:ind w:firstLine="420"/>
        <w:rPr>
          <w:rFonts w:hint="eastAsia"/>
          <w:lang w:eastAsia="zh-CN"/>
        </w:rPr>
      </w:pPr>
      <w:r>
        <w:rPr>
          <w:lang w:eastAsia="zh-CN"/>
        </w:rPr>
        <w:t>在中国境内、外发生的与本合同执行有关的一切税费均由投标人承担。</w:t>
      </w:r>
    </w:p>
    <w:p w14:paraId="15F907F4">
      <w:pPr>
        <w:spacing w:after="0"/>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7E"/>
    <w:rsid w:val="0004473C"/>
    <w:rsid w:val="00054E7E"/>
    <w:rsid w:val="00063AFB"/>
    <w:rsid w:val="000747A7"/>
    <w:rsid w:val="000C412F"/>
    <w:rsid w:val="000D652C"/>
    <w:rsid w:val="000F1E12"/>
    <w:rsid w:val="00113D3F"/>
    <w:rsid w:val="001E5F7E"/>
    <w:rsid w:val="001F71A9"/>
    <w:rsid w:val="002012CD"/>
    <w:rsid w:val="002867CC"/>
    <w:rsid w:val="002A2312"/>
    <w:rsid w:val="002B281D"/>
    <w:rsid w:val="002C0F35"/>
    <w:rsid w:val="002C14FD"/>
    <w:rsid w:val="002D054C"/>
    <w:rsid w:val="00314D0B"/>
    <w:rsid w:val="00343083"/>
    <w:rsid w:val="00371BB2"/>
    <w:rsid w:val="003E6E1C"/>
    <w:rsid w:val="00417D84"/>
    <w:rsid w:val="0045278B"/>
    <w:rsid w:val="004D59D0"/>
    <w:rsid w:val="0050657C"/>
    <w:rsid w:val="005A7D41"/>
    <w:rsid w:val="005D443A"/>
    <w:rsid w:val="00675BF8"/>
    <w:rsid w:val="00724225"/>
    <w:rsid w:val="007A2201"/>
    <w:rsid w:val="007B2276"/>
    <w:rsid w:val="00815269"/>
    <w:rsid w:val="00877C5D"/>
    <w:rsid w:val="008A4471"/>
    <w:rsid w:val="008A5E72"/>
    <w:rsid w:val="008B4C48"/>
    <w:rsid w:val="00900782"/>
    <w:rsid w:val="0091114E"/>
    <w:rsid w:val="00A4306A"/>
    <w:rsid w:val="00A60CEA"/>
    <w:rsid w:val="00B55188"/>
    <w:rsid w:val="00BE5D2B"/>
    <w:rsid w:val="00C444C5"/>
    <w:rsid w:val="00C7681D"/>
    <w:rsid w:val="00C829C4"/>
    <w:rsid w:val="00CF16EA"/>
    <w:rsid w:val="00D226A7"/>
    <w:rsid w:val="00E07E62"/>
    <w:rsid w:val="00E2265B"/>
    <w:rsid w:val="00E346C8"/>
    <w:rsid w:val="00E43965"/>
    <w:rsid w:val="00E45563"/>
    <w:rsid w:val="00E57619"/>
    <w:rsid w:val="00ED0353"/>
    <w:rsid w:val="00ED5050"/>
    <w:rsid w:val="00ED5E85"/>
    <w:rsid w:val="00EF7913"/>
    <w:rsid w:val="00F87EE2"/>
    <w:rsid w:val="00FC6479"/>
    <w:rsid w:val="0C333616"/>
    <w:rsid w:val="36FA4E35"/>
    <w:rsid w:val="62BF120F"/>
    <w:rsid w:val="76D109C9"/>
    <w:rsid w:val="7D2456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30"/>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left"/>
    </w:pPr>
    <w:rPr>
      <w:rFonts w:ascii="宋体" w:hAnsi="宋体" w:eastAsia="宋体" w:cstheme="minorBidi"/>
      <w:kern w:val="0"/>
      <w:sz w:val="24"/>
      <w:szCs w:val="22"/>
      <w:lang w:val="en-US" w:eastAsia="en-US"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9"/>
    <w:unhideWhenUsed/>
    <w:uiPriority w:val="99"/>
    <w:pPr>
      <w:tabs>
        <w:tab w:val="center" w:pos="4153"/>
        <w:tab w:val="right" w:pos="8306"/>
      </w:tabs>
      <w:snapToGrid w:val="0"/>
      <w:spacing w:line="240" w:lineRule="auto"/>
      <w:jc w:val="center"/>
    </w:pPr>
    <w:rPr>
      <w:sz w:val="18"/>
      <w:szCs w:val="18"/>
    </w:rPr>
  </w:style>
  <w:style w:type="table" w:styleId="5">
    <w:name w:val="Table Grid"/>
    <w:basedOn w:val="4"/>
    <w:qFormat/>
    <w:uiPriority w:val="59"/>
    <w:pPr>
      <w:spacing w:line="240" w:lineRule="auto"/>
      <w:jc w:val="left"/>
    </w:pPr>
    <w:rPr>
      <w:rFonts w:asciiTheme="minorHAnsi" w:hAnsiTheme="minorHAnsi" w:eastAsiaTheme="minorEastAsia" w:cstheme="minorBidi"/>
      <w:kern w:val="0"/>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样式1"/>
    <w:basedOn w:val="4"/>
    <w:uiPriority w:val="99"/>
    <w:pPr>
      <w:spacing w:line="240" w:lineRule="atLeast"/>
      <w:jc w:val="left"/>
    </w:pPr>
    <w:rPr>
      <w:sz w:val="21"/>
    </w:rPr>
    <w:tblPr>
      <w:jc w:val="center"/>
      <w:tblBorders>
        <w:top w:val="single" w:color="000000" w:themeColor="text1" w:sz="8" w:space="0"/>
        <w:bottom w:val="single" w:color="000000" w:themeColor="text1" w:sz="8" w:space="0"/>
      </w:tblBorders>
    </w:tblPr>
    <w:trPr>
      <w:jc w:val="center"/>
    </w:trPr>
    <w:tcPr>
      <w:vAlign w:val="center"/>
    </w:tcPr>
    <w:tblStylePr w:type="firstRow">
      <w:pPr>
        <w:wordWrap/>
        <w:adjustRightInd w:val="0"/>
        <w:snapToGrid w:val="0"/>
        <w:spacing w:line="240" w:lineRule="atLeast"/>
        <w:jc w:val="center"/>
      </w:pPr>
      <w:rPr>
        <w:rFonts w:eastAsia="宋体"/>
        <w:sz w:val="21"/>
      </w:rPr>
      <w:tcPr>
        <w:tcBorders>
          <w:top w:val="single" w:color="000000" w:themeColor="text1" w:sz="8" w:space="0"/>
          <w:left w:val="nil"/>
          <w:bottom w:val="single" w:color="000000" w:themeColor="text1" w:sz="4" w:space="0"/>
          <w:right w:val="nil"/>
          <w:insideH w:val="nil"/>
          <w:insideV w:val="nil"/>
          <w:tl2br w:val="nil"/>
          <w:tr2bl w:val="nil"/>
        </w:tcBorders>
      </w:tcPr>
    </w:tblStylePr>
  </w:style>
  <w:style w:type="table" w:customStyle="1" w:styleId="8">
    <w:name w:val="三线表"/>
    <w:basedOn w:val="4"/>
    <w:uiPriority w:val="99"/>
    <w:pPr>
      <w:spacing w:line="240" w:lineRule="auto"/>
      <w:jc w:val="left"/>
    </w:pPr>
    <w:rPr>
      <w:rFonts w:ascii="宋体" w:hAnsi="宋体" w:cstheme="minorBidi"/>
      <w:sz w:val="21"/>
      <w:szCs w:val="22"/>
    </w:rPr>
    <w:tblPr>
      <w:tblBorders>
        <w:top w:val="single" w:color="auto" w:sz="4" w:space="0"/>
        <w:bottom w:val="single" w:color="auto" w:sz="4" w:space="0"/>
      </w:tblBorders>
    </w:tblPr>
    <w:tblStylePr w:type="firstRow">
      <w:tcPr>
        <w:tcBorders>
          <w:top w:val="nil"/>
          <w:left w:val="nil"/>
          <w:bottom w:val="single" w:color="auto" w:sz="4" w:space="0"/>
          <w:right w:val="nil"/>
          <w:insideH w:val="nil"/>
          <w:insideV w:val="nil"/>
          <w:tl2br w:val="nil"/>
          <w:tr2bl w:val="nil"/>
        </w:tcBorders>
      </w:tcPr>
    </w:tblStyle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3486</Words>
  <Characters>3676</Characters>
  <Lines>26</Lines>
  <Paragraphs>7</Paragraphs>
  <TotalTime>256</TotalTime>
  <ScaleCrop>false</ScaleCrop>
  <LinksUpToDate>false</LinksUpToDate>
  <CharactersWithSpaces>3682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2026-07-01T00:30:00Z</dcterms:created>
  <dc:creator>' Near</dc:creator>
  <cp:lastModifiedBy>陈彩花</cp:lastModifiedBy>
  <dcterms:modified xsi:type="dcterms:W3CDTF">2026-07-17T03:57:22Z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eyJoZGlkIjoiNDcwYmJiODY2YTIwYmEyNGNkZTRlYzViOWRiOTY0YjQiLCJ1c2VySWQiOiI0MjcxMzY1NDIifQ==</vt:lpwstr>
  </property>
  <property fmtid="{D5CDD505-2E9C-101B-9397-08002B2CF9AE}" pid="4" name="ICV">
    <vt:lpwstr>F7B631674C8341A4AABBDC50C8EE3EAE_12</vt:lpwstr>
  </property>
</Properties>
</file>