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53C3D6">
      <w:pPr>
        <w:pStyle w:val="6"/>
        <w:jc w:val="center"/>
        <w:outlineLvl w:val="1"/>
        <w:rPr>
          <w:rFonts w:ascii="黑体" w:hAnsi="黑体" w:eastAsia="黑体" w:cs="黑体"/>
          <w:i w:val="0"/>
          <w:iCs w:val="0"/>
          <w:caps w:val="0"/>
          <w:color w:val="000000"/>
          <w:spacing w:val="0"/>
          <w:sz w:val="32"/>
          <w:szCs w:val="32"/>
        </w:rPr>
      </w:pPr>
      <w:bookmarkStart w:id="0" w:name="OLE_LINK7"/>
      <w:r>
        <w:rPr>
          <w:rFonts w:hint="eastAsia" w:ascii="黑体" w:hAnsi="黑体" w:eastAsia="黑体" w:cs="黑体"/>
          <w:i w:val="0"/>
          <w:iCs w:val="0"/>
          <w:caps w:val="0"/>
          <w:color w:val="000000"/>
          <w:spacing w:val="0"/>
          <w:sz w:val="32"/>
          <w:szCs w:val="32"/>
          <w:lang w:val="en-US" w:eastAsia="zh-CN"/>
        </w:rPr>
        <w:t>广东省人民医院</w:t>
      </w:r>
      <w:r>
        <w:rPr>
          <w:rFonts w:hint="eastAsia" w:ascii="黑体" w:hAnsi="黑体" w:eastAsia="黑体" w:cs="黑体"/>
          <w:i w:val="0"/>
          <w:iCs w:val="0"/>
          <w:caps w:val="0"/>
          <w:color w:val="000000"/>
          <w:spacing w:val="0"/>
          <w:sz w:val="32"/>
          <w:szCs w:val="32"/>
        </w:rPr>
        <w:t>2026年度核心业务类信息系统维护服务</w:t>
      </w:r>
      <w:r>
        <w:rPr>
          <w:rFonts w:ascii="黑体" w:hAnsi="黑体" w:eastAsia="黑体" w:cs="黑体"/>
          <w:i w:val="0"/>
          <w:iCs w:val="0"/>
          <w:caps w:val="0"/>
          <w:color w:val="000000"/>
          <w:spacing w:val="0"/>
          <w:sz w:val="32"/>
          <w:szCs w:val="32"/>
        </w:rPr>
        <w:t>项目需求</w:t>
      </w:r>
    </w:p>
    <w:bookmarkEnd w:id="0"/>
    <w:p w14:paraId="4413A4FE">
      <w:pPr>
        <w:pStyle w:val="6"/>
        <w:jc w:val="center"/>
        <w:outlineLvl w:val="1"/>
        <w:rPr>
          <w:rFonts w:ascii="宋体" w:hAnsi="宋体"/>
          <w:color w:val="auto"/>
          <w:highlight w:val="none"/>
        </w:rPr>
      </w:pPr>
    </w:p>
    <w:p w14:paraId="35F03C7F">
      <w:pPr>
        <w:pStyle w:val="2"/>
        <w:numPr>
          <w:ilvl w:val="0"/>
          <w:numId w:val="1"/>
        </w:numPr>
        <w:rPr>
          <w:color w:val="auto"/>
          <w:sz w:val="32"/>
          <w:szCs w:val="32"/>
          <w:highlight w:val="none"/>
        </w:rPr>
      </w:pPr>
      <w:r>
        <w:rPr>
          <w:rFonts w:hint="eastAsia"/>
          <w:color w:val="auto"/>
          <w:sz w:val="32"/>
          <w:szCs w:val="32"/>
          <w:highlight w:val="none"/>
          <w:lang w:val="en-US" w:eastAsia="zh-CN"/>
        </w:rPr>
        <w:t>项目名称</w:t>
      </w:r>
    </w:p>
    <w:p w14:paraId="7548FBCC">
      <w:pP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i w:val="0"/>
          <w:iCs w:val="0"/>
          <w:caps w:val="0"/>
          <w:color w:val="auto"/>
          <w:spacing w:val="0"/>
          <w:sz w:val="24"/>
          <w:szCs w:val="24"/>
          <w:highlight w:val="none"/>
          <w:lang w:val="en-US" w:eastAsia="zh-CN"/>
        </w:rPr>
        <w:t>广东省人民医院</w:t>
      </w:r>
      <w:r>
        <w:rPr>
          <w:rFonts w:hint="eastAsia" w:cs="宋体" w:asciiTheme="minorEastAsia" w:hAnsiTheme="minorEastAsia" w:eastAsiaTheme="minorEastAsia"/>
          <w:i w:val="0"/>
          <w:iCs w:val="0"/>
          <w:caps w:val="0"/>
          <w:color w:val="auto"/>
          <w:spacing w:val="0"/>
          <w:sz w:val="24"/>
          <w:szCs w:val="24"/>
          <w:highlight w:val="none"/>
        </w:rPr>
        <w:t>2026年度核心业务类信息系统维护服务项目</w:t>
      </w:r>
    </w:p>
    <w:p w14:paraId="1A765F2A"/>
    <w:p w14:paraId="23C1FC75">
      <w:pPr>
        <w:pStyle w:val="2"/>
        <w:numPr>
          <w:ilvl w:val="0"/>
          <w:numId w:val="1"/>
        </w:numPr>
        <w:rPr>
          <w:color w:val="auto"/>
          <w:sz w:val="32"/>
          <w:szCs w:val="32"/>
          <w:highlight w:val="none"/>
        </w:rPr>
      </w:pPr>
      <w:r>
        <w:rPr>
          <w:color w:val="auto"/>
          <w:sz w:val="32"/>
          <w:szCs w:val="32"/>
          <w:highlight w:val="none"/>
        </w:rPr>
        <w:t>服务内容</w:t>
      </w:r>
    </w:p>
    <w:p w14:paraId="2A8CE153">
      <w:pPr>
        <w:numPr>
          <w:ilvl w:val="1"/>
          <w:numId w:val="2"/>
        </w:numPr>
        <w:tabs>
          <w:tab w:val="left" w:pos="1145"/>
        </w:tabs>
        <w:spacing w:line="360" w:lineRule="auto"/>
        <w:ind w:left="709" w:hanging="489"/>
        <w:jc w:val="left"/>
        <w:outlineLvl w:val="2"/>
        <w:rPr>
          <w:rFonts w:hint="eastAsia"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用户简介</w:t>
      </w:r>
      <w:bookmarkStart w:id="5" w:name="_GoBack"/>
      <w:bookmarkEnd w:id="5"/>
    </w:p>
    <w:p w14:paraId="20657F85">
      <w:pPr>
        <w:spacing w:line="360" w:lineRule="auto"/>
        <w:ind w:firstLine="480" w:firstLineChars="200"/>
        <w:rPr>
          <w:rFonts w:hint="eastAsia"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广东省人民医院是全国最大的集医疗、科研、教学、预防和保健于一体的综合性三甲医院之一，在全国同行业中名列前茅。</w:t>
      </w:r>
    </w:p>
    <w:p w14:paraId="58693C2D">
      <w:pPr>
        <w:spacing w:line="360" w:lineRule="auto"/>
        <w:ind w:firstLine="480" w:firstLineChars="200"/>
        <w:rPr>
          <w:rFonts w:hint="eastAsia"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广东省人民医院信息管理系统（</w:t>
      </w:r>
      <w:r>
        <w:rPr>
          <w:rFonts w:cs="宋体" w:asciiTheme="minorEastAsia" w:hAnsiTheme="minorEastAsia" w:eastAsiaTheme="minorEastAsia"/>
          <w:color w:val="auto"/>
          <w:sz w:val="24"/>
          <w:highlight w:val="none"/>
        </w:rPr>
        <w:t>HIS</w:t>
      </w:r>
      <w:r>
        <w:rPr>
          <w:rFonts w:hint="eastAsia" w:cs="宋体" w:asciiTheme="minorEastAsia" w:hAnsiTheme="minorEastAsia" w:eastAsiaTheme="minorEastAsia"/>
          <w:color w:val="auto"/>
          <w:sz w:val="24"/>
          <w:highlight w:val="none"/>
        </w:rPr>
        <w:t>）覆盖医院经济管理、核算、库存、查询、统计等人财物流的各个领域。因此，医院的业务发展越来越需要信息系统的强有力支持。</w:t>
      </w:r>
    </w:p>
    <w:p w14:paraId="5F145B20">
      <w:pPr>
        <w:numPr>
          <w:ilvl w:val="1"/>
          <w:numId w:val="2"/>
        </w:numPr>
        <w:tabs>
          <w:tab w:val="left" w:pos="1145"/>
        </w:tabs>
        <w:spacing w:line="360" w:lineRule="auto"/>
        <w:ind w:left="709" w:hanging="489"/>
        <w:jc w:val="left"/>
        <w:outlineLvl w:val="2"/>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系统清单</w:t>
      </w:r>
    </w:p>
    <w:p w14:paraId="5E501B34">
      <w:pPr>
        <w:spacing w:line="360" w:lineRule="auto"/>
        <w:ind w:firstLine="480" w:firstLineChars="200"/>
        <w:rPr>
          <w:rFonts w:hint="eastAsia"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广东省人民医院将购买医院信息系统各子系统的维护服务，目前广东省人民医院已在线运行的医院信息系统各子系统的模块及功能如下(简称“软件”）：</w:t>
      </w:r>
    </w:p>
    <w:p w14:paraId="6946C31E">
      <w:pPr>
        <w:pStyle w:val="7"/>
        <w:spacing w:line="360" w:lineRule="auto"/>
        <w:ind w:left="900" w:firstLine="0" w:firstLineChars="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1.库房管理系统（含低值易耗品、被服、食品管理系统）</w:t>
      </w:r>
    </w:p>
    <w:p w14:paraId="05D52905">
      <w:pPr>
        <w:pStyle w:val="7"/>
        <w:spacing w:line="360" w:lineRule="auto"/>
        <w:ind w:left="900" w:firstLine="0" w:firstLineChars="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2.综合查询系统</w:t>
      </w:r>
    </w:p>
    <w:p w14:paraId="094ED23C">
      <w:pPr>
        <w:pStyle w:val="7"/>
        <w:spacing w:line="360" w:lineRule="auto"/>
        <w:ind w:left="900" w:firstLine="0" w:firstLineChars="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3.核算系统</w:t>
      </w:r>
    </w:p>
    <w:p w14:paraId="0FA688AE">
      <w:pPr>
        <w:pStyle w:val="7"/>
        <w:spacing w:line="360" w:lineRule="auto"/>
        <w:ind w:left="900" w:firstLine="0" w:firstLineChars="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4.职工薪资管理系统</w:t>
      </w:r>
    </w:p>
    <w:p w14:paraId="7F1146D3">
      <w:pPr>
        <w:pStyle w:val="7"/>
        <w:spacing w:line="360" w:lineRule="auto"/>
        <w:ind w:left="900" w:firstLine="0" w:firstLineChars="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5.财务系统</w:t>
      </w:r>
    </w:p>
    <w:p w14:paraId="705A69CC">
      <w:pPr>
        <w:pStyle w:val="7"/>
        <w:spacing w:line="360" w:lineRule="auto"/>
        <w:ind w:left="900" w:firstLine="0" w:firstLineChars="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6.阳光用药监控平台</w:t>
      </w:r>
    </w:p>
    <w:p w14:paraId="6AB50AD4">
      <w:pPr>
        <w:pStyle w:val="7"/>
        <w:spacing w:line="360" w:lineRule="auto"/>
        <w:ind w:left="900" w:firstLine="0" w:firstLineChars="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7.人员动态管理系统</w:t>
      </w:r>
    </w:p>
    <w:p w14:paraId="5F379C8B">
      <w:pPr>
        <w:pStyle w:val="7"/>
        <w:spacing w:line="360" w:lineRule="auto"/>
        <w:ind w:left="900" w:firstLine="0" w:firstLineChars="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9.住院病人成本归集系统</w:t>
      </w:r>
    </w:p>
    <w:p w14:paraId="11D05E2C">
      <w:pPr>
        <w:pStyle w:val="7"/>
        <w:spacing w:line="360" w:lineRule="auto"/>
        <w:ind w:left="900" w:firstLine="0" w:firstLineChars="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10.医院数据中心（一期）</w:t>
      </w:r>
    </w:p>
    <w:p w14:paraId="6FC958FE">
      <w:pPr>
        <w:pStyle w:val="7"/>
        <w:spacing w:line="360" w:lineRule="auto"/>
        <w:ind w:left="900" w:firstLine="0" w:firstLineChars="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11.管理数据中心</w:t>
      </w:r>
    </w:p>
    <w:p w14:paraId="3EBC681C">
      <w:pPr>
        <w:pStyle w:val="7"/>
        <w:spacing w:line="360" w:lineRule="auto"/>
        <w:ind w:left="900" w:firstLine="0" w:firstLineChars="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13.住院移动护理</w:t>
      </w:r>
    </w:p>
    <w:p w14:paraId="648653C9">
      <w:pPr>
        <w:pStyle w:val="7"/>
        <w:spacing w:line="360" w:lineRule="auto"/>
        <w:ind w:left="900" w:firstLine="0" w:firstLineChars="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14.采购一体化智能管理系统</w:t>
      </w:r>
    </w:p>
    <w:p w14:paraId="70E15325">
      <w:pPr>
        <w:pStyle w:val="7"/>
        <w:spacing w:line="360" w:lineRule="auto"/>
        <w:ind w:left="900" w:firstLine="0" w:firstLineChars="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15.健康码卡对接项目</w:t>
      </w:r>
    </w:p>
    <w:p w14:paraId="231475EA">
      <w:pPr>
        <w:pStyle w:val="7"/>
        <w:spacing w:line="360" w:lineRule="auto"/>
        <w:ind w:left="900" w:firstLine="0" w:firstLineChars="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16.临床数据中心(二期）</w:t>
      </w:r>
      <w:r>
        <w:rPr>
          <w:rFonts w:hint="eastAsia" w:asciiTheme="minorEastAsia" w:hAnsiTheme="minorEastAsia" w:eastAsiaTheme="minorEastAsia"/>
          <w:color w:val="auto"/>
          <w:sz w:val="24"/>
          <w:highlight w:val="none"/>
          <w:lang w:val="en-US" w:eastAsia="zh-CN"/>
        </w:rPr>
        <w:t>之</w:t>
      </w:r>
      <w:r>
        <w:rPr>
          <w:rFonts w:hint="eastAsia" w:asciiTheme="minorEastAsia" w:hAnsiTheme="minorEastAsia" w:eastAsiaTheme="minorEastAsia"/>
          <w:color w:val="auto"/>
          <w:sz w:val="24"/>
          <w:highlight w:val="none"/>
        </w:rPr>
        <w:t>随访系统</w:t>
      </w:r>
    </w:p>
    <w:p w14:paraId="3B1A0B62">
      <w:pPr>
        <w:pStyle w:val="7"/>
        <w:spacing w:line="360" w:lineRule="auto"/>
        <w:ind w:left="900" w:firstLine="0" w:firstLineChars="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17.省直医疗信息管理系统</w:t>
      </w:r>
    </w:p>
    <w:p w14:paraId="4786696F">
      <w:pPr>
        <w:pStyle w:val="7"/>
        <w:spacing w:line="360" w:lineRule="auto"/>
        <w:ind w:left="900" w:firstLine="0" w:firstLineChars="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18.新一代HIS系统（含临床诊疗、电子病历、医疗管理、医技管理、药事管理、患者服务、运营管理、护理文书）</w:t>
      </w:r>
    </w:p>
    <w:p w14:paraId="7B7509B5">
      <w:pPr>
        <w:pStyle w:val="7"/>
        <w:spacing w:line="360" w:lineRule="auto"/>
        <w:ind w:left="900" w:firstLine="0" w:firstLineChars="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19.非夜班移动护理</w:t>
      </w:r>
    </w:p>
    <w:p w14:paraId="0A3B5163">
      <w:pPr>
        <w:pStyle w:val="7"/>
        <w:spacing w:line="360" w:lineRule="auto"/>
        <w:ind w:left="900" w:firstLine="0" w:firstLineChars="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20.抗菌药物科学化管理系统</w:t>
      </w:r>
    </w:p>
    <w:p w14:paraId="63319E1B">
      <w:pPr>
        <w:pStyle w:val="7"/>
        <w:spacing w:line="360" w:lineRule="auto"/>
        <w:ind w:left="900" w:firstLine="0" w:firstLineChars="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21.广州市全面健康信息上报接口开发</w:t>
      </w:r>
    </w:p>
    <w:p w14:paraId="3C17E890">
      <w:pPr>
        <w:pStyle w:val="7"/>
        <w:spacing w:line="360" w:lineRule="auto"/>
        <w:ind w:left="900" w:firstLine="0" w:firstLineChars="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22.智慧医疗建设服务软件及配套硬件（智能候诊信息系统、智慧人脸AI行政管理平台、智能管理驾驶舱）</w:t>
      </w:r>
    </w:p>
    <w:p w14:paraId="651B8CD8">
      <w:pPr>
        <w:pStyle w:val="7"/>
        <w:spacing w:line="360" w:lineRule="auto"/>
        <w:ind w:left="900" w:firstLine="0" w:firstLineChars="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23.慢病智能预警及会诊管理系统</w:t>
      </w:r>
    </w:p>
    <w:p w14:paraId="24601521">
      <w:pPr>
        <w:pStyle w:val="7"/>
        <w:spacing w:line="360" w:lineRule="auto"/>
        <w:ind w:left="900" w:firstLine="0" w:firstLineChars="0"/>
        <w:rPr>
          <w:rFonts w:hint="eastAsia" w:cs="宋体" w:asciiTheme="minorEastAsia" w:hAnsiTheme="minorEastAsia" w:eastAsiaTheme="minorEastAsia"/>
          <w:color w:val="auto"/>
          <w:sz w:val="24"/>
          <w:highlight w:val="none"/>
        </w:rPr>
      </w:pPr>
      <w:bookmarkStart w:id="1" w:name="OLE_LINK1"/>
      <w:r>
        <w:rPr>
          <w:rFonts w:hint="eastAsia" w:cs="宋体" w:asciiTheme="minorEastAsia" w:hAnsiTheme="minorEastAsia" w:eastAsiaTheme="minorEastAsia"/>
          <w:color w:val="auto"/>
          <w:sz w:val="24"/>
          <w:highlight w:val="none"/>
        </w:rPr>
        <w:t>服务内容包含上述系统所有功能与数据开发服务</w:t>
      </w:r>
      <w:bookmarkEnd w:id="1"/>
      <w:r>
        <w:rPr>
          <w:rFonts w:hint="eastAsia" w:cs="宋体" w:asciiTheme="minorEastAsia" w:hAnsiTheme="minorEastAsia" w:eastAsiaTheme="minorEastAsia"/>
          <w:color w:val="auto"/>
          <w:sz w:val="24"/>
          <w:highlight w:val="none"/>
        </w:rPr>
        <w:t>。（此处的“数据开发”是指数据统计、挖掘、数据分析等相关业务）</w:t>
      </w:r>
    </w:p>
    <w:p w14:paraId="77A68B04">
      <w:pPr>
        <w:numPr>
          <w:ilvl w:val="1"/>
          <w:numId w:val="2"/>
        </w:numPr>
        <w:tabs>
          <w:tab w:val="left" w:pos="1145"/>
        </w:tabs>
        <w:spacing w:line="360" w:lineRule="auto"/>
        <w:ind w:left="709" w:hanging="489"/>
        <w:jc w:val="left"/>
        <w:outlineLvl w:val="2"/>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项目内容</w:t>
      </w:r>
    </w:p>
    <w:p w14:paraId="2906298A">
      <w:pPr>
        <w:pStyle w:val="7"/>
        <w:ind w:left="900" w:firstLine="0" w:firstLineChars="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本条款所界定的服务是指</w:t>
      </w:r>
      <w:r>
        <w:rPr>
          <w:rFonts w:hint="eastAsia" w:cs="宋体" w:asciiTheme="minorEastAsia" w:hAnsiTheme="minorEastAsia" w:eastAsiaTheme="minorEastAsia"/>
          <w:color w:val="auto"/>
          <w:sz w:val="24"/>
          <w:highlight w:val="none"/>
          <w:lang w:eastAsia="zh-CN"/>
        </w:rPr>
        <w:t>服务商</w:t>
      </w:r>
      <w:r>
        <w:rPr>
          <w:rFonts w:hint="eastAsia" w:cs="宋体" w:asciiTheme="minorEastAsia" w:hAnsiTheme="minorEastAsia" w:eastAsiaTheme="minorEastAsia"/>
          <w:color w:val="auto"/>
          <w:sz w:val="24"/>
          <w:highlight w:val="none"/>
        </w:rPr>
        <w:t>在“软件”运维过程中提供给采购人的服务，包括软件日常维护、修改调整、集成服务、系统集成服务、业务系统数据库维护服务、项目管理、需求分析服务。</w:t>
      </w:r>
      <w:r>
        <w:rPr>
          <w:rFonts w:hint="eastAsia"/>
          <w:color w:val="auto"/>
          <w:sz w:val="24"/>
          <w:highlight w:val="none"/>
          <w:lang w:val="en-US" w:eastAsia="zh-CN"/>
        </w:rPr>
        <w:t>其中</w:t>
      </w:r>
      <w:r>
        <w:rPr>
          <w:rFonts w:hint="eastAsia" w:asciiTheme="minorEastAsia" w:hAnsiTheme="minorEastAsia" w:eastAsiaTheme="minorEastAsia"/>
          <w:color w:val="auto"/>
          <w:sz w:val="24"/>
          <w:highlight w:val="none"/>
          <w:u w:val="single"/>
        </w:rPr>
        <w:t>库房管理系统</w:t>
      </w:r>
      <w:r>
        <w:rPr>
          <w:rFonts w:hint="eastAsia" w:asciiTheme="minorEastAsia" w:hAnsiTheme="minorEastAsia" w:eastAsiaTheme="minorEastAsia"/>
          <w:color w:val="auto"/>
          <w:sz w:val="24"/>
          <w:highlight w:val="none"/>
          <w:u w:val="single"/>
          <w:lang w:eastAsia="zh-CN"/>
        </w:rPr>
        <w:t>、</w:t>
      </w:r>
      <w:r>
        <w:rPr>
          <w:rFonts w:hint="eastAsia" w:asciiTheme="minorEastAsia" w:hAnsiTheme="minorEastAsia" w:eastAsiaTheme="minorEastAsia"/>
          <w:color w:val="auto"/>
          <w:sz w:val="24"/>
          <w:highlight w:val="none"/>
          <w:u w:val="single"/>
          <w:lang w:val="en-US" w:eastAsia="zh-CN"/>
        </w:rPr>
        <w:t>核算系统、</w:t>
      </w:r>
      <w:r>
        <w:rPr>
          <w:rFonts w:hint="eastAsia" w:asciiTheme="minorEastAsia" w:hAnsiTheme="minorEastAsia" w:eastAsiaTheme="minorEastAsia"/>
          <w:color w:val="auto"/>
          <w:sz w:val="24"/>
          <w:highlight w:val="none"/>
          <w:u w:val="single"/>
        </w:rPr>
        <w:t>职工薪资管理系统</w:t>
      </w:r>
      <w:r>
        <w:rPr>
          <w:rFonts w:hint="eastAsia" w:asciiTheme="minorEastAsia" w:hAnsiTheme="minorEastAsia" w:eastAsiaTheme="minorEastAsia"/>
          <w:color w:val="auto"/>
          <w:sz w:val="24"/>
          <w:highlight w:val="none"/>
          <w:u w:val="single"/>
          <w:lang w:eastAsia="zh-CN"/>
        </w:rPr>
        <w:t>、</w:t>
      </w:r>
      <w:r>
        <w:rPr>
          <w:rFonts w:hint="eastAsia" w:asciiTheme="minorEastAsia" w:hAnsiTheme="minorEastAsia" w:eastAsiaTheme="minorEastAsia"/>
          <w:color w:val="auto"/>
          <w:sz w:val="24"/>
          <w:highlight w:val="none"/>
          <w:u w:val="single"/>
        </w:rPr>
        <w:t>财务系统</w:t>
      </w:r>
      <w:r>
        <w:rPr>
          <w:rFonts w:hint="eastAsia" w:asciiTheme="minorEastAsia" w:hAnsiTheme="minorEastAsia" w:eastAsiaTheme="minorEastAsia"/>
          <w:color w:val="auto"/>
          <w:sz w:val="24"/>
          <w:highlight w:val="none"/>
          <w:u w:val="single"/>
          <w:lang w:eastAsia="zh-CN"/>
        </w:rPr>
        <w:t>、</w:t>
      </w:r>
      <w:r>
        <w:rPr>
          <w:rFonts w:hint="eastAsia" w:asciiTheme="minorEastAsia" w:hAnsiTheme="minorEastAsia" w:eastAsiaTheme="minorEastAsia"/>
          <w:color w:val="auto"/>
          <w:sz w:val="24"/>
          <w:highlight w:val="none"/>
          <w:u w:val="single"/>
        </w:rPr>
        <w:t>住院病人成本归集系统</w:t>
      </w:r>
      <w:r>
        <w:rPr>
          <w:rFonts w:hint="eastAsia" w:asciiTheme="minorEastAsia" w:hAnsiTheme="minorEastAsia" w:eastAsiaTheme="minorEastAsia"/>
          <w:color w:val="auto"/>
          <w:sz w:val="24"/>
          <w:highlight w:val="none"/>
          <w:u w:val="single"/>
          <w:lang w:eastAsia="zh-CN"/>
        </w:rPr>
        <w:t>、</w:t>
      </w:r>
      <w:r>
        <w:rPr>
          <w:rFonts w:hint="eastAsia" w:asciiTheme="minorEastAsia" w:hAnsiTheme="minorEastAsia" w:eastAsiaTheme="minorEastAsia"/>
          <w:color w:val="auto"/>
          <w:sz w:val="24"/>
          <w:highlight w:val="none"/>
          <w:u w:val="single"/>
        </w:rPr>
        <w:t>临床数据中心(二期）</w:t>
      </w:r>
      <w:r>
        <w:rPr>
          <w:rFonts w:hint="eastAsia" w:asciiTheme="minorEastAsia" w:hAnsiTheme="minorEastAsia" w:eastAsiaTheme="minorEastAsia"/>
          <w:color w:val="auto"/>
          <w:sz w:val="24"/>
          <w:highlight w:val="none"/>
          <w:u w:val="single"/>
          <w:lang w:val="en-US" w:eastAsia="zh-CN"/>
        </w:rPr>
        <w:t>之</w:t>
      </w:r>
      <w:r>
        <w:rPr>
          <w:rFonts w:hint="eastAsia" w:asciiTheme="minorEastAsia" w:hAnsiTheme="minorEastAsia" w:eastAsiaTheme="minorEastAsia"/>
          <w:color w:val="auto"/>
          <w:sz w:val="24"/>
          <w:highlight w:val="none"/>
          <w:u w:val="single"/>
        </w:rPr>
        <w:t>随访系统</w:t>
      </w:r>
      <w:r>
        <w:rPr>
          <w:rFonts w:hint="eastAsia" w:asciiTheme="minorEastAsia" w:hAnsiTheme="minorEastAsia" w:eastAsiaTheme="minorEastAsia"/>
          <w:color w:val="auto"/>
          <w:sz w:val="24"/>
          <w:highlight w:val="none"/>
          <w:u w:val="single"/>
          <w:lang w:eastAsia="zh-CN"/>
        </w:rPr>
        <w:t>、</w:t>
      </w:r>
      <w:r>
        <w:rPr>
          <w:rFonts w:hint="eastAsia" w:asciiTheme="minorEastAsia" w:hAnsiTheme="minorEastAsia" w:eastAsiaTheme="minorEastAsia"/>
          <w:color w:val="auto"/>
          <w:sz w:val="24"/>
          <w:highlight w:val="none"/>
          <w:u w:val="single"/>
        </w:rPr>
        <w:t>慢病智能预警及会诊管理系统</w:t>
      </w:r>
      <w:r>
        <w:rPr>
          <w:rFonts w:hint="eastAsia" w:asciiTheme="minorEastAsia" w:hAnsiTheme="minorEastAsia" w:eastAsiaTheme="minorEastAsia"/>
          <w:color w:val="auto"/>
          <w:sz w:val="24"/>
          <w:highlight w:val="none"/>
          <w:lang w:val="en-US" w:eastAsia="zh-CN"/>
        </w:rPr>
        <w:t>仅需日常维护。</w:t>
      </w:r>
      <w:r>
        <w:rPr>
          <w:rFonts w:hint="eastAsia" w:cs="宋体" w:asciiTheme="minorEastAsia" w:hAnsiTheme="minorEastAsia" w:eastAsiaTheme="minorEastAsia"/>
          <w:color w:val="auto"/>
          <w:sz w:val="24"/>
          <w:highlight w:val="none"/>
        </w:rPr>
        <w:t>在本项目服务期内，由</w:t>
      </w:r>
      <w:r>
        <w:rPr>
          <w:rFonts w:hint="eastAsia" w:cs="宋体" w:asciiTheme="minorEastAsia" w:hAnsiTheme="minorEastAsia" w:eastAsiaTheme="minorEastAsia"/>
          <w:color w:val="auto"/>
          <w:sz w:val="24"/>
          <w:highlight w:val="none"/>
          <w:lang w:eastAsia="zh-CN"/>
        </w:rPr>
        <w:t>服务商</w:t>
      </w:r>
      <w:r>
        <w:rPr>
          <w:rFonts w:hint="eastAsia" w:cs="宋体" w:asciiTheme="minorEastAsia" w:hAnsiTheme="minorEastAsia" w:eastAsiaTheme="minorEastAsia"/>
          <w:color w:val="auto"/>
          <w:sz w:val="24"/>
          <w:highlight w:val="none"/>
        </w:rPr>
        <w:t>开发的新项目和新系统验收后，自动转入本项目进行维护，不再另行签订合同和收费。</w:t>
      </w:r>
    </w:p>
    <w:p w14:paraId="0E7F75D2">
      <w:pPr>
        <w:pStyle w:val="7"/>
        <w:keepNext/>
        <w:keepLines/>
        <w:numPr>
          <w:ilvl w:val="0"/>
          <w:numId w:val="3"/>
        </w:numPr>
        <w:spacing w:line="578" w:lineRule="auto"/>
        <w:ind w:firstLineChars="0"/>
        <w:outlineLvl w:val="0"/>
        <w:rPr>
          <w:rFonts w:hint="eastAsia" w:ascii="宋体" w:hAnsi="宋体"/>
          <w:b/>
          <w:bCs/>
          <w:vanish/>
          <w:color w:val="auto"/>
          <w:kern w:val="44"/>
          <w:sz w:val="44"/>
          <w:szCs w:val="44"/>
          <w:highlight w:val="none"/>
        </w:rPr>
      </w:pPr>
    </w:p>
    <w:p w14:paraId="49D8D301">
      <w:pPr>
        <w:pStyle w:val="7"/>
        <w:keepNext/>
        <w:keepLines/>
        <w:numPr>
          <w:ilvl w:val="0"/>
          <w:numId w:val="3"/>
        </w:numPr>
        <w:spacing w:line="578" w:lineRule="auto"/>
        <w:ind w:firstLineChars="0"/>
        <w:outlineLvl w:val="0"/>
        <w:rPr>
          <w:rFonts w:hint="eastAsia" w:ascii="宋体" w:hAnsi="宋体"/>
          <w:b/>
          <w:bCs/>
          <w:vanish/>
          <w:color w:val="auto"/>
          <w:kern w:val="44"/>
          <w:sz w:val="44"/>
          <w:szCs w:val="44"/>
          <w:highlight w:val="none"/>
        </w:rPr>
      </w:pPr>
    </w:p>
    <w:p w14:paraId="5A0EAED2">
      <w:pPr>
        <w:pStyle w:val="7"/>
        <w:keepNext/>
        <w:keepLines/>
        <w:numPr>
          <w:ilvl w:val="0"/>
          <w:numId w:val="3"/>
        </w:numPr>
        <w:spacing w:line="578" w:lineRule="auto"/>
        <w:ind w:firstLineChars="0"/>
        <w:outlineLvl w:val="0"/>
        <w:rPr>
          <w:rFonts w:hint="eastAsia" w:ascii="宋体" w:hAnsi="宋体"/>
          <w:b/>
          <w:bCs/>
          <w:vanish/>
          <w:color w:val="auto"/>
          <w:kern w:val="44"/>
          <w:sz w:val="44"/>
          <w:szCs w:val="44"/>
          <w:highlight w:val="none"/>
        </w:rPr>
      </w:pPr>
    </w:p>
    <w:p w14:paraId="5CA33D75">
      <w:pPr>
        <w:pStyle w:val="7"/>
        <w:keepNext/>
        <w:keepLines/>
        <w:numPr>
          <w:ilvl w:val="1"/>
          <w:numId w:val="3"/>
        </w:numPr>
        <w:spacing w:line="578" w:lineRule="auto"/>
        <w:ind w:firstLineChars="0"/>
        <w:outlineLvl w:val="0"/>
        <w:rPr>
          <w:rFonts w:hint="eastAsia" w:ascii="宋体" w:hAnsi="宋体"/>
          <w:b/>
          <w:bCs/>
          <w:vanish/>
          <w:color w:val="auto"/>
          <w:kern w:val="44"/>
          <w:sz w:val="44"/>
          <w:szCs w:val="44"/>
          <w:highlight w:val="none"/>
        </w:rPr>
      </w:pPr>
    </w:p>
    <w:p w14:paraId="44884548">
      <w:pPr>
        <w:numPr>
          <w:ilvl w:val="0"/>
          <w:numId w:val="4"/>
        </w:numPr>
        <w:tabs>
          <w:tab w:val="left" w:pos="0"/>
        </w:tabs>
        <w:spacing w:before="120" w:beforeLines="50" w:line="360" w:lineRule="auto"/>
        <w:ind w:left="0" w:firstLine="422" w:firstLineChars="200"/>
        <w:outlineLvl w:val="3"/>
        <w:rPr>
          <w:rFonts w:hint="eastAsia" w:ascii="宋体" w:hAnsi="宋体"/>
          <w:b/>
          <w:color w:val="auto"/>
          <w:szCs w:val="21"/>
          <w:highlight w:val="none"/>
        </w:rPr>
      </w:pPr>
      <w:r>
        <w:rPr>
          <w:rFonts w:hint="eastAsia" w:ascii="宋体" w:hAnsi="宋体"/>
          <w:b/>
          <w:color w:val="auto"/>
          <w:szCs w:val="21"/>
          <w:highlight w:val="none"/>
        </w:rPr>
        <w:t>日常维护</w:t>
      </w:r>
    </w:p>
    <w:p w14:paraId="5F5FCD52">
      <w:pPr>
        <w:numPr>
          <w:ilvl w:val="0"/>
          <w:numId w:val="5"/>
        </w:num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稳定运行保障</w:t>
      </w:r>
    </w:p>
    <w:p w14:paraId="5799BA05">
      <w:pPr>
        <w:spacing w:line="360" w:lineRule="auto"/>
        <w:ind w:left="480"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制定和调整系统检查和维护方案，保证在用各系统及其功能的完整及正确性，能承受不断增加的业务和数据压力，保证系统运行的高效、稳定。</w:t>
      </w:r>
    </w:p>
    <w:p w14:paraId="1AD7804E">
      <w:pPr>
        <w:numPr>
          <w:ilvl w:val="0"/>
          <w:numId w:val="5"/>
        </w:num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系统错误修复</w:t>
      </w:r>
    </w:p>
    <w:p w14:paraId="460FFAC8">
      <w:pPr>
        <w:spacing w:line="360" w:lineRule="auto"/>
        <w:ind w:left="480"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系统在使用过程中发现的错误，在2个工作日完成修复。</w:t>
      </w:r>
    </w:p>
    <w:p w14:paraId="4D32E4AC">
      <w:pPr>
        <w:numPr>
          <w:ilvl w:val="0"/>
          <w:numId w:val="5"/>
        </w:num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系统数据修复</w:t>
      </w:r>
    </w:p>
    <w:p w14:paraId="5D58A47A">
      <w:pPr>
        <w:spacing w:line="360" w:lineRule="auto"/>
        <w:ind w:left="480"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系统使用过程中，因用户误操作等原因导致的数据错误，查明原因和进行数据修复。在5个工作日完成修复。</w:t>
      </w:r>
    </w:p>
    <w:p w14:paraId="448BA6AB">
      <w:pPr>
        <w:numPr>
          <w:ilvl w:val="0"/>
          <w:numId w:val="5"/>
        </w:num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实施培训</w:t>
      </w:r>
    </w:p>
    <w:p w14:paraId="11C0AED1">
      <w:pPr>
        <w:spacing w:line="360" w:lineRule="auto"/>
        <w:ind w:left="480"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负责因各种原因变化增加的项目实施和人员培训工作。</w:t>
      </w:r>
    </w:p>
    <w:p w14:paraId="7030CAE1">
      <w:pPr>
        <w:numPr>
          <w:ilvl w:val="0"/>
          <w:numId w:val="4"/>
        </w:numPr>
        <w:tabs>
          <w:tab w:val="left" w:pos="0"/>
        </w:tabs>
        <w:spacing w:before="120" w:beforeLines="50" w:line="360" w:lineRule="auto"/>
        <w:ind w:left="0" w:firstLine="422" w:firstLineChars="200"/>
        <w:outlineLvl w:val="3"/>
        <w:rPr>
          <w:rFonts w:hint="eastAsia" w:ascii="宋体" w:hAnsi="宋体"/>
          <w:b/>
          <w:color w:val="auto"/>
          <w:szCs w:val="21"/>
          <w:highlight w:val="none"/>
        </w:rPr>
      </w:pPr>
      <w:r>
        <w:rPr>
          <w:rFonts w:hint="eastAsia" w:ascii="宋体" w:hAnsi="宋体"/>
          <w:b/>
          <w:color w:val="auto"/>
          <w:szCs w:val="21"/>
          <w:highlight w:val="none"/>
        </w:rPr>
        <w:t>修改调整</w:t>
      </w:r>
    </w:p>
    <w:p w14:paraId="4897DC9B">
      <w:pP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根据采购人的要求改进或扩充信息系统使其更完善、适应环境的变化，并将这些修改调整加以实施、培训、后续服务。</w:t>
      </w:r>
    </w:p>
    <w:p w14:paraId="53B6F4C0">
      <w:pP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针对采购人提出的功能调整，</w:t>
      </w:r>
      <w:r>
        <w:rPr>
          <w:rFonts w:hint="eastAsia" w:asciiTheme="minorEastAsia" w:hAnsiTheme="minorEastAsia" w:eastAsiaTheme="minorEastAsia"/>
          <w:color w:val="auto"/>
          <w:sz w:val="24"/>
          <w:highlight w:val="none"/>
          <w:lang w:eastAsia="zh-CN"/>
        </w:rPr>
        <w:t>服务商</w:t>
      </w:r>
      <w:r>
        <w:rPr>
          <w:rFonts w:hint="eastAsia" w:asciiTheme="minorEastAsia" w:hAnsiTheme="minorEastAsia" w:eastAsiaTheme="minorEastAsia"/>
          <w:color w:val="auto"/>
          <w:sz w:val="24"/>
          <w:highlight w:val="none"/>
        </w:rPr>
        <w:t>需进行</w:t>
      </w:r>
      <w:r>
        <w:rPr>
          <w:rFonts w:hint="eastAsia" w:cs="宋体" w:asciiTheme="minorEastAsia" w:hAnsiTheme="minorEastAsia" w:eastAsiaTheme="minorEastAsia"/>
          <w:color w:val="auto"/>
          <w:sz w:val="24"/>
          <w:highlight w:val="none"/>
        </w:rPr>
        <w:t>日常需求调研、需求文档整理、软件功能开发及功能调整。程序更换前测试、更换程序期间以及更换程序后的维护服务。</w:t>
      </w:r>
    </w:p>
    <w:p w14:paraId="0F2BA39A">
      <w:pPr>
        <w:spacing w:line="360" w:lineRule="auto"/>
        <w:ind w:firstLine="480" w:firstLineChars="200"/>
        <w:rPr>
          <w:rFonts w:hint="eastAsia" w:ascii="宋体" w:hAnsi="宋体"/>
          <w:color w:val="auto"/>
          <w:szCs w:val="21"/>
          <w:highlight w:val="none"/>
        </w:rPr>
      </w:pPr>
      <w:r>
        <w:rPr>
          <w:rFonts w:hint="eastAsia" w:asciiTheme="minorEastAsia" w:hAnsiTheme="minorEastAsia" w:eastAsiaTheme="minorEastAsia"/>
          <w:color w:val="auto"/>
          <w:sz w:val="24"/>
          <w:highlight w:val="none"/>
          <w:lang w:eastAsia="zh-CN"/>
        </w:rPr>
        <w:t>服务商</w:t>
      </w:r>
      <w:r>
        <w:rPr>
          <w:rFonts w:hint="eastAsia" w:asciiTheme="minorEastAsia" w:hAnsiTheme="minorEastAsia" w:eastAsiaTheme="minorEastAsia"/>
          <w:color w:val="auto"/>
          <w:sz w:val="24"/>
          <w:highlight w:val="none"/>
        </w:rPr>
        <w:t>根据采购人所提出的需求，对软件进行本地化修改过程中，涉及数据库表结构，视图以及存储过程的变更，需要通过采购人信息部门的评审，评审通过后方可修改。</w:t>
      </w:r>
    </w:p>
    <w:p w14:paraId="4E5A36AA">
      <w:pPr>
        <w:numPr>
          <w:ilvl w:val="0"/>
          <w:numId w:val="6"/>
        </w:num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完善性调整</w:t>
      </w:r>
    </w:p>
    <w:p w14:paraId="49D89FE1">
      <w:pPr>
        <w:numPr>
          <w:ilvl w:val="0"/>
          <w:numId w:val="7"/>
        </w:numP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支持为达致符合政府规范、要求所必须进行的修改。</w:t>
      </w:r>
    </w:p>
    <w:p w14:paraId="5A6B9FC1">
      <w:pPr>
        <w:numPr>
          <w:ilvl w:val="0"/>
          <w:numId w:val="7"/>
        </w:numP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在系统结构允许的范围内，根据采购人管理和业务变化做出必要的流程变更、功能新增、调整和修改，执行和实施信息系统软件升级。</w:t>
      </w:r>
    </w:p>
    <w:p w14:paraId="766474BF">
      <w:pPr>
        <w:numPr>
          <w:ilvl w:val="0"/>
          <w:numId w:val="7"/>
        </w:numPr>
        <w:spacing w:line="360" w:lineRule="auto"/>
        <w:ind w:firstLine="480" w:firstLineChars="200"/>
        <w:rPr>
          <w:rFonts w:hint="eastAsia"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满足采购人对外数据上报接口的修改。</w:t>
      </w:r>
    </w:p>
    <w:p w14:paraId="0434788B">
      <w:pPr>
        <w:numPr>
          <w:ilvl w:val="0"/>
          <w:numId w:val="6"/>
        </w:num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适应性调整</w:t>
      </w:r>
    </w:p>
    <w:p w14:paraId="2E7CC2EC">
      <w:pPr>
        <w:spacing w:line="360" w:lineRule="auto"/>
        <w:ind w:left="480"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维护期内，信息系统的应适应支撑系统软件（包括服务器端、客户端），如操作系统、数据库系统、浏览器等发生改变而做相应的调整。</w:t>
      </w:r>
    </w:p>
    <w:p w14:paraId="0A004507">
      <w:pPr>
        <w:numPr>
          <w:ilvl w:val="0"/>
          <w:numId w:val="6"/>
        </w:num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安全要求调整</w:t>
      </w:r>
    </w:p>
    <w:p w14:paraId="33A7C540">
      <w:pPr>
        <w:spacing w:line="360" w:lineRule="auto"/>
        <w:ind w:left="480"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当现有系统存在安全漏洞时，</w:t>
      </w:r>
      <w:r>
        <w:rPr>
          <w:rFonts w:hint="eastAsia" w:cs="宋体" w:asciiTheme="minorEastAsia" w:hAnsiTheme="minorEastAsia" w:eastAsiaTheme="minorEastAsia"/>
          <w:color w:val="auto"/>
          <w:sz w:val="24"/>
          <w:highlight w:val="none"/>
          <w:lang w:eastAsia="zh-CN"/>
        </w:rPr>
        <w:t>服务商</w:t>
      </w:r>
      <w:r>
        <w:rPr>
          <w:rFonts w:hint="eastAsia" w:cs="宋体" w:asciiTheme="minorEastAsia" w:hAnsiTheme="minorEastAsia" w:eastAsiaTheme="minorEastAsia"/>
          <w:color w:val="auto"/>
          <w:sz w:val="24"/>
          <w:highlight w:val="none"/>
        </w:rPr>
        <w:t>必须及时整改修复。相关费用已包含在投标报价中，采购人不再另行支付。</w:t>
      </w:r>
    </w:p>
    <w:p w14:paraId="7242B544">
      <w:pPr>
        <w:spacing w:line="360" w:lineRule="auto"/>
        <w:ind w:left="480"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采购人每年进行系统等保复测，</w:t>
      </w:r>
      <w:r>
        <w:rPr>
          <w:rFonts w:hint="eastAsia" w:cs="宋体" w:asciiTheme="minorEastAsia" w:hAnsiTheme="minorEastAsia" w:eastAsiaTheme="minorEastAsia"/>
          <w:color w:val="auto"/>
          <w:sz w:val="24"/>
          <w:highlight w:val="none"/>
          <w:lang w:eastAsia="zh-CN"/>
        </w:rPr>
        <w:t>服务商</w:t>
      </w:r>
      <w:r>
        <w:rPr>
          <w:rFonts w:hint="eastAsia" w:cs="宋体" w:asciiTheme="minorEastAsia" w:hAnsiTheme="minorEastAsia" w:eastAsiaTheme="minorEastAsia"/>
          <w:color w:val="auto"/>
          <w:sz w:val="24"/>
          <w:highlight w:val="none"/>
        </w:rPr>
        <w:t>必须按等保复测提出的整改要求及时完成系统整改。</w:t>
      </w:r>
    </w:p>
    <w:p w14:paraId="6AEE135B">
      <w:pPr>
        <w:numPr>
          <w:ilvl w:val="0"/>
          <w:numId w:val="6"/>
        </w:num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配合国产化改造测试</w:t>
      </w:r>
    </w:p>
    <w:p w14:paraId="05538A36">
      <w:pPr>
        <w:spacing w:line="360" w:lineRule="auto"/>
        <w:ind w:left="480"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配合采购人对数据库、操作系统、中间件、客户端电脑进行</w:t>
      </w:r>
      <w:r>
        <w:rPr>
          <w:rFonts w:hint="eastAsia" w:asciiTheme="minorEastAsia" w:hAnsiTheme="minorEastAsia" w:eastAsiaTheme="minorEastAsia"/>
          <w:color w:val="auto"/>
          <w:sz w:val="24"/>
          <w:highlight w:val="none"/>
        </w:rPr>
        <w:t>国产化</w:t>
      </w:r>
      <w:r>
        <w:rPr>
          <w:rFonts w:hint="eastAsia" w:cs="宋体" w:asciiTheme="minorEastAsia" w:hAnsiTheme="minorEastAsia" w:eastAsiaTheme="minorEastAsia"/>
          <w:color w:val="auto"/>
          <w:sz w:val="24"/>
          <w:highlight w:val="none"/>
        </w:rPr>
        <w:t>改造测试工作，与采购人一起优化</w:t>
      </w:r>
      <w:r>
        <w:rPr>
          <w:rFonts w:hint="eastAsia" w:asciiTheme="minorEastAsia" w:hAnsiTheme="minorEastAsia" w:eastAsiaTheme="minorEastAsia"/>
          <w:color w:val="auto"/>
          <w:sz w:val="24"/>
          <w:highlight w:val="none"/>
        </w:rPr>
        <w:t>国产化</w:t>
      </w:r>
      <w:r>
        <w:rPr>
          <w:rFonts w:hint="eastAsia" w:cs="宋体" w:asciiTheme="minorEastAsia" w:hAnsiTheme="minorEastAsia" w:eastAsiaTheme="minorEastAsia"/>
          <w:color w:val="auto"/>
          <w:sz w:val="24"/>
          <w:highlight w:val="none"/>
        </w:rPr>
        <w:t>环境下的系统性能。</w:t>
      </w:r>
    </w:p>
    <w:p w14:paraId="03538089">
      <w:pPr>
        <w:numPr>
          <w:ilvl w:val="0"/>
          <w:numId w:val="4"/>
        </w:numPr>
        <w:tabs>
          <w:tab w:val="left" w:pos="0"/>
        </w:tabs>
        <w:spacing w:before="120" w:beforeLines="50" w:line="360" w:lineRule="auto"/>
        <w:ind w:left="0" w:firstLine="422" w:firstLineChars="200"/>
        <w:outlineLvl w:val="3"/>
        <w:rPr>
          <w:rFonts w:hint="eastAsia" w:ascii="宋体" w:hAnsi="宋体"/>
          <w:b/>
          <w:color w:val="auto"/>
          <w:szCs w:val="21"/>
          <w:highlight w:val="none"/>
        </w:rPr>
      </w:pPr>
      <w:r>
        <w:rPr>
          <w:rFonts w:hint="eastAsia" w:ascii="宋体" w:hAnsi="宋体"/>
          <w:b/>
          <w:color w:val="auto"/>
          <w:szCs w:val="21"/>
          <w:highlight w:val="none"/>
        </w:rPr>
        <w:t>集成维护</w:t>
      </w:r>
    </w:p>
    <w:p w14:paraId="2188515E">
      <w:pPr>
        <w:numPr>
          <w:ilvl w:val="0"/>
          <w:numId w:val="8"/>
        </w:num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在本项目服务期内，</w:t>
      </w:r>
      <w:r>
        <w:rPr>
          <w:rFonts w:hint="eastAsia" w:cs="宋体" w:asciiTheme="minorEastAsia" w:hAnsiTheme="minorEastAsia" w:eastAsiaTheme="minorEastAsia"/>
          <w:color w:val="auto"/>
          <w:sz w:val="24"/>
          <w:highlight w:val="none"/>
        </w:rPr>
        <w:t>采购人</w:t>
      </w:r>
      <w:r>
        <w:rPr>
          <w:rFonts w:hint="eastAsia" w:asciiTheme="minorEastAsia" w:hAnsiTheme="minorEastAsia" w:eastAsiaTheme="minorEastAsia"/>
          <w:color w:val="auto"/>
          <w:sz w:val="24"/>
          <w:highlight w:val="none"/>
        </w:rPr>
        <w:t>购买的第三方软件需要集成到合同项目范围内的系统模块时，</w:t>
      </w:r>
      <w:r>
        <w:rPr>
          <w:rFonts w:hint="eastAsia" w:asciiTheme="minorEastAsia" w:hAnsiTheme="minorEastAsia" w:eastAsiaTheme="minorEastAsia"/>
          <w:color w:val="auto"/>
          <w:sz w:val="24"/>
          <w:highlight w:val="none"/>
          <w:lang w:eastAsia="zh-CN"/>
        </w:rPr>
        <w:t>服务商</w:t>
      </w:r>
      <w:r>
        <w:rPr>
          <w:rFonts w:hint="eastAsia" w:asciiTheme="minorEastAsia" w:hAnsiTheme="minorEastAsia" w:eastAsiaTheme="minorEastAsia"/>
          <w:color w:val="auto"/>
          <w:sz w:val="24"/>
          <w:highlight w:val="none"/>
        </w:rPr>
        <w:t>负责完成软件的接口开发工作。</w:t>
      </w:r>
    </w:p>
    <w:p w14:paraId="2A21982E">
      <w:pPr>
        <w:numPr>
          <w:ilvl w:val="0"/>
          <w:numId w:val="8"/>
        </w:num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在本项目服务期内，对维护范围内的系统、在系统结构允许范围内，按采购人要求提供数据开发服务。</w:t>
      </w:r>
    </w:p>
    <w:p w14:paraId="1AF0E494">
      <w:pPr>
        <w:numPr>
          <w:ilvl w:val="0"/>
          <w:numId w:val="4"/>
        </w:numPr>
        <w:tabs>
          <w:tab w:val="left" w:pos="0"/>
        </w:tabs>
        <w:spacing w:before="120" w:beforeLines="50" w:line="360" w:lineRule="auto"/>
        <w:ind w:left="0" w:firstLine="422" w:firstLineChars="200"/>
        <w:outlineLvl w:val="3"/>
        <w:rPr>
          <w:rFonts w:hint="eastAsia" w:ascii="宋体" w:hAnsi="宋体"/>
          <w:b/>
          <w:color w:val="auto"/>
          <w:szCs w:val="21"/>
          <w:highlight w:val="none"/>
        </w:rPr>
      </w:pPr>
      <w:r>
        <w:rPr>
          <w:rFonts w:hint="eastAsia" w:ascii="宋体" w:hAnsi="宋体"/>
          <w:b/>
          <w:color w:val="auto"/>
          <w:szCs w:val="21"/>
          <w:highlight w:val="none"/>
        </w:rPr>
        <w:t>系统集成服务</w:t>
      </w:r>
      <w:r>
        <w:rPr>
          <w:rFonts w:hint="eastAsia" w:cs="宋体" w:asciiTheme="minorEastAsia" w:hAnsiTheme="minorEastAsia" w:eastAsiaTheme="minorEastAsia"/>
          <w:color w:val="auto"/>
          <w:sz w:val="24"/>
          <w:highlight w:val="none"/>
        </w:rPr>
        <w:t>（指服务器硬件和系统软件集成服务）</w:t>
      </w:r>
    </w:p>
    <w:p w14:paraId="63254C89">
      <w:pPr>
        <w:numPr>
          <w:ilvl w:val="0"/>
          <w:numId w:val="9"/>
        </w:num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系统维护：负责对合同项目范围内的系统模块所包含的自建应用服务以及相关中间件的管理、监控和维护；协助</w:t>
      </w:r>
      <w:r>
        <w:rPr>
          <w:rFonts w:hint="eastAsia" w:cs="宋体" w:asciiTheme="minorEastAsia" w:hAnsiTheme="minorEastAsia" w:eastAsiaTheme="minorEastAsia"/>
          <w:color w:val="auto"/>
          <w:sz w:val="24"/>
          <w:highlight w:val="none"/>
        </w:rPr>
        <w:t>采购人</w:t>
      </w:r>
      <w:r>
        <w:rPr>
          <w:rFonts w:hint="eastAsia" w:asciiTheme="minorEastAsia" w:hAnsiTheme="minorEastAsia" w:eastAsiaTheme="minorEastAsia"/>
          <w:color w:val="auto"/>
          <w:sz w:val="24"/>
          <w:highlight w:val="none"/>
        </w:rPr>
        <w:t>对操作系统、数据库系统平台软件的管理、监控和维护。</w:t>
      </w:r>
    </w:p>
    <w:p w14:paraId="63D3C19A">
      <w:pPr>
        <w:numPr>
          <w:ilvl w:val="0"/>
          <w:numId w:val="9"/>
        </w:num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系统安全：协助</w:t>
      </w:r>
      <w:r>
        <w:rPr>
          <w:rFonts w:hint="eastAsia" w:cs="宋体" w:asciiTheme="minorEastAsia" w:hAnsiTheme="minorEastAsia" w:eastAsiaTheme="minorEastAsia"/>
          <w:color w:val="auto"/>
          <w:sz w:val="24"/>
          <w:highlight w:val="none"/>
        </w:rPr>
        <w:t>采购人</w:t>
      </w:r>
      <w:r>
        <w:rPr>
          <w:rFonts w:hint="eastAsia" w:asciiTheme="minorEastAsia" w:hAnsiTheme="minorEastAsia" w:eastAsiaTheme="minorEastAsia"/>
          <w:color w:val="auto"/>
          <w:sz w:val="24"/>
          <w:highlight w:val="none"/>
        </w:rPr>
        <w:t>信息系统安全性方案的总体规划、设计和监控。</w:t>
      </w:r>
    </w:p>
    <w:p w14:paraId="2D564C8B">
      <w:pPr>
        <w:numPr>
          <w:ilvl w:val="0"/>
          <w:numId w:val="9"/>
        </w:num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数据备份：协助</w:t>
      </w:r>
      <w:r>
        <w:rPr>
          <w:rFonts w:hint="eastAsia" w:cs="宋体" w:asciiTheme="minorEastAsia" w:hAnsiTheme="minorEastAsia" w:eastAsiaTheme="minorEastAsia"/>
          <w:color w:val="auto"/>
          <w:sz w:val="24"/>
          <w:highlight w:val="none"/>
        </w:rPr>
        <w:t>采购人</w:t>
      </w:r>
      <w:r>
        <w:rPr>
          <w:rFonts w:hint="eastAsia" w:asciiTheme="minorEastAsia" w:hAnsiTheme="minorEastAsia" w:eastAsiaTheme="minorEastAsia"/>
          <w:color w:val="auto"/>
          <w:sz w:val="24"/>
          <w:highlight w:val="none"/>
        </w:rPr>
        <w:t>数据备份包括实时备份和系统安全性方案的设计和实施。</w:t>
      </w:r>
    </w:p>
    <w:p w14:paraId="6367724B">
      <w:pPr>
        <w:numPr>
          <w:ilvl w:val="0"/>
          <w:numId w:val="4"/>
        </w:numPr>
        <w:tabs>
          <w:tab w:val="left" w:pos="0"/>
        </w:tabs>
        <w:spacing w:before="120" w:beforeLines="50" w:line="360" w:lineRule="auto"/>
        <w:ind w:left="0" w:firstLine="482" w:firstLineChars="200"/>
        <w:outlineLvl w:val="3"/>
        <w:rPr>
          <w:rFonts w:hint="eastAsia"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业务系统数据库维护</w:t>
      </w:r>
    </w:p>
    <w:p w14:paraId="28651FBE">
      <w:pPr>
        <w:pStyle w:val="7"/>
        <w:numPr>
          <w:ilvl w:val="0"/>
          <w:numId w:val="10"/>
        </w:numPr>
        <w:spacing w:line="360" w:lineRule="auto"/>
        <w:ind w:firstLine="420" w:firstLineChars="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业务数据库巡检：</w:t>
      </w:r>
      <w:r>
        <w:rPr>
          <w:rFonts w:hint="eastAsia" w:cs="宋体" w:asciiTheme="minorEastAsia" w:hAnsiTheme="minorEastAsia" w:eastAsiaTheme="minorEastAsia"/>
          <w:color w:val="auto"/>
          <w:sz w:val="24"/>
          <w:highlight w:val="none"/>
          <w:lang w:eastAsia="zh-CN"/>
        </w:rPr>
        <w:t>服务商</w:t>
      </w:r>
      <w:r>
        <w:rPr>
          <w:rFonts w:hint="eastAsia" w:cs="宋体" w:asciiTheme="minorEastAsia" w:hAnsiTheme="minorEastAsia" w:eastAsiaTheme="minorEastAsia"/>
          <w:color w:val="auto"/>
          <w:sz w:val="24"/>
          <w:highlight w:val="none"/>
        </w:rPr>
        <w:t>必须在每月对维护范围内的业务数据库进行一次巡检，包括业务运行情况、存储空间情况、业务数据库运行情况，</w:t>
      </w:r>
      <w:r>
        <w:rPr>
          <w:rFonts w:cs="宋体" w:asciiTheme="minorEastAsia" w:hAnsiTheme="minorEastAsia" w:eastAsiaTheme="minorEastAsia"/>
          <w:color w:val="auto"/>
          <w:sz w:val="24"/>
          <w:highlight w:val="none"/>
        </w:rPr>
        <w:t>并提交巡检报告</w:t>
      </w:r>
      <w:r>
        <w:rPr>
          <w:rFonts w:hint="eastAsia" w:cs="宋体" w:asciiTheme="minorEastAsia" w:hAnsiTheme="minorEastAsia" w:eastAsiaTheme="minorEastAsia"/>
          <w:color w:val="auto"/>
          <w:sz w:val="24"/>
          <w:highlight w:val="none"/>
        </w:rPr>
        <w:t>。</w:t>
      </w:r>
    </w:p>
    <w:p w14:paraId="3F918346">
      <w:pPr>
        <w:pStyle w:val="7"/>
        <w:numPr>
          <w:ilvl w:val="0"/>
          <w:numId w:val="10"/>
        </w:numPr>
        <w:spacing w:line="360" w:lineRule="auto"/>
        <w:ind w:firstLine="420" w:firstLineChars="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配合数据库维护：配合采购人完成数据库系统升级、维护</w:t>
      </w:r>
      <w:r>
        <w:rPr>
          <w:rFonts w:hint="eastAsia" w:cs="宋体" w:asciiTheme="minorEastAsia" w:hAnsiTheme="minorEastAsia" w:eastAsiaTheme="minorEastAsia"/>
          <w:color w:val="auto"/>
          <w:sz w:val="24"/>
          <w:highlight w:val="none"/>
          <w:lang w:eastAsia="zh-CN"/>
        </w:rPr>
        <w:t>、</w:t>
      </w:r>
      <w:r>
        <w:rPr>
          <w:rFonts w:hint="eastAsia" w:cs="宋体" w:asciiTheme="minorEastAsia" w:hAnsiTheme="minorEastAsia" w:eastAsiaTheme="minorEastAsia"/>
          <w:color w:val="auto"/>
          <w:sz w:val="24"/>
          <w:highlight w:val="none"/>
          <w:lang w:val="en-US" w:eastAsia="zh-CN"/>
        </w:rPr>
        <w:t>容灾</w:t>
      </w:r>
      <w:r>
        <w:rPr>
          <w:rFonts w:hint="eastAsia" w:cs="宋体" w:asciiTheme="minorEastAsia" w:hAnsiTheme="minorEastAsia" w:eastAsiaTheme="minorEastAsia"/>
          <w:color w:val="auto"/>
          <w:sz w:val="24"/>
          <w:highlight w:val="none"/>
        </w:rPr>
        <w:t>等工作，提供业务层面的技术支持。处理</w:t>
      </w:r>
      <w:r>
        <w:rPr>
          <w:rFonts w:cs="宋体" w:asciiTheme="minorEastAsia" w:hAnsiTheme="minorEastAsia" w:eastAsiaTheme="minorEastAsia"/>
          <w:color w:val="auto"/>
          <w:sz w:val="24"/>
          <w:highlight w:val="none"/>
        </w:rPr>
        <w:t>数据库日常报错</w:t>
      </w:r>
      <w:r>
        <w:rPr>
          <w:rFonts w:hint="eastAsia" w:cs="宋体" w:asciiTheme="minorEastAsia" w:hAnsiTheme="minorEastAsia" w:eastAsiaTheme="minorEastAsia"/>
          <w:color w:val="auto"/>
          <w:sz w:val="24"/>
          <w:highlight w:val="none"/>
        </w:rPr>
        <w:t>。</w:t>
      </w:r>
    </w:p>
    <w:p w14:paraId="6065406E">
      <w:pPr>
        <w:pStyle w:val="7"/>
        <w:numPr>
          <w:ilvl w:val="0"/>
          <w:numId w:val="10"/>
        </w:numPr>
        <w:spacing w:line="360" w:lineRule="auto"/>
        <w:ind w:firstLine="420" w:firstLineChars="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配合备份管理：配合采购人完成</w:t>
      </w:r>
      <w:r>
        <w:rPr>
          <w:rFonts w:cs="宋体" w:asciiTheme="minorEastAsia" w:hAnsiTheme="minorEastAsia" w:eastAsiaTheme="minorEastAsia"/>
          <w:color w:val="auto"/>
          <w:sz w:val="24"/>
          <w:highlight w:val="none"/>
        </w:rPr>
        <w:t>数据库日常备份管理，按需求梳理并调整不同数据库的备份方式和计划</w:t>
      </w:r>
      <w:r>
        <w:rPr>
          <w:rFonts w:hint="eastAsia" w:cs="宋体" w:asciiTheme="minorEastAsia" w:hAnsiTheme="minorEastAsia" w:eastAsiaTheme="minorEastAsia"/>
          <w:color w:val="auto"/>
          <w:sz w:val="24"/>
          <w:highlight w:val="none"/>
        </w:rPr>
        <w:t>。</w:t>
      </w:r>
    </w:p>
    <w:p w14:paraId="717DB79F">
      <w:pPr>
        <w:pStyle w:val="7"/>
        <w:numPr>
          <w:ilvl w:val="0"/>
          <w:numId w:val="10"/>
        </w:numPr>
        <w:spacing w:line="360" w:lineRule="auto"/>
        <w:ind w:firstLine="420" w:firstLineChars="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配合数据库优化：对合同项目范围内的系统模块的数据库（oracle、sql server等）性能优化、故障处理及运行报告；对高消耗SQL进行分析，并提出优化方案。</w:t>
      </w:r>
    </w:p>
    <w:p w14:paraId="5CA0FFBA">
      <w:pPr>
        <w:pStyle w:val="7"/>
        <w:numPr>
          <w:ilvl w:val="0"/>
          <w:numId w:val="10"/>
        </w:numPr>
        <w:spacing w:line="360" w:lineRule="auto"/>
        <w:ind w:firstLine="420" w:firstLineChars="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配合数据库迁移：</w:t>
      </w:r>
      <w:r>
        <w:rPr>
          <w:rFonts w:cs="宋体" w:asciiTheme="minorEastAsia" w:hAnsiTheme="minorEastAsia" w:eastAsiaTheme="minorEastAsia"/>
          <w:color w:val="auto"/>
          <w:sz w:val="24"/>
          <w:highlight w:val="none"/>
        </w:rPr>
        <w:t>数据库迁移工作以及迁移变更前后对新旧环境的检查及配置</w:t>
      </w:r>
      <w:r>
        <w:rPr>
          <w:rFonts w:hint="eastAsia" w:cs="宋体" w:asciiTheme="minorEastAsia" w:hAnsiTheme="minorEastAsia" w:eastAsiaTheme="minorEastAsia"/>
          <w:color w:val="auto"/>
          <w:sz w:val="24"/>
          <w:highlight w:val="none"/>
        </w:rPr>
        <w:t>。</w:t>
      </w:r>
    </w:p>
    <w:p w14:paraId="6CD26CE1">
      <w:pPr>
        <w:pStyle w:val="7"/>
        <w:numPr>
          <w:ilvl w:val="0"/>
          <w:numId w:val="10"/>
        </w:numPr>
        <w:spacing w:line="360" w:lineRule="auto"/>
        <w:ind w:firstLine="420" w:firstLineChars="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配合数据库监控：对在用系统</w:t>
      </w:r>
      <w:r>
        <w:rPr>
          <w:rFonts w:cs="宋体" w:asciiTheme="minorEastAsia" w:hAnsiTheme="minorEastAsia" w:eastAsiaTheme="minorEastAsia"/>
          <w:color w:val="auto"/>
          <w:sz w:val="24"/>
          <w:highlight w:val="none"/>
        </w:rPr>
        <w:t>数据库</w:t>
      </w:r>
      <w:r>
        <w:rPr>
          <w:rFonts w:hint="eastAsia" w:cs="宋体" w:asciiTheme="minorEastAsia" w:hAnsiTheme="minorEastAsia" w:eastAsiaTheme="minorEastAsia"/>
          <w:color w:val="auto"/>
          <w:sz w:val="24"/>
          <w:highlight w:val="none"/>
        </w:rPr>
        <w:t>进行</w:t>
      </w:r>
      <w:r>
        <w:rPr>
          <w:rFonts w:cs="宋体" w:asciiTheme="minorEastAsia" w:hAnsiTheme="minorEastAsia" w:eastAsiaTheme="minorEastAsia"/>
          <w:color w:val="auto"/>
          <w:sz w:val="24"/>
          <w:highlight w:val="none"/>
        </w:rPr>
        <w:t>运行监控、报告工作，提出风险报告及应对措施</w:t>
      </w:r>
      <w:r>
        <w:rPr>
          <w:rFonts w:hint="eastAsia" w:cs="宋体" w:asciiTheme="minorEastAsia" w:hAnsiTheme="minorEastAsia" w:eastAsiaTheme="minorEastAsia"/>
          <w:color w:val="auto"/>
          <w:sz w:val="24"/>
          <w:highlight w:val="none"/>
        </w:rPr>
        <w:t>。</w:t>
      </w:r>
    </w:p>
    <w:p w14:paraId="373A3415">
      <w:pPr>
        <w:numPr>
          <w:ilvl w:val="0"/>
          <w:numId w:val="4"/>
        </w:numPr>
        <w:tabs>
          <w:tab w:val="left" w:pos="0"/>
        </w:tabs>
        <w:spacing w:before="120" w:beforeLines="50" w:line="360" w:lineRule="auto"/>
        <w:ind w:left="0" w:firstLine="482" w:firstLineChars="200"/>
        <w:outlineLvl w:val="3"/>
        <w:rPr>
          <w:rFonts w:hint="eastAsia"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项目管理</w:t>
      </w:r>
    </w:p>
    <w:p w14:paraId="7E4498D0">
      <w:pP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采购人、</w:t>
      </w:r>
      <w:r>
        <w:rPr>
          <w:rFonts w:hint="eastAsia" w:cs="宋体" w:asciiTheme="minorEastAsia" w:hAnsiTheme="minorEastAsia" w:eastAsiaTheme="minorEastAsia"/>
          <w:color w:val="auto"/>
          <w:sz w:val="24"/>
          <w:highlight w:val="none"/>
          <w:lang w:eastAsia="zh-CN"/>
        </w:rPr>
        <w:t>服务商</w:t>
      </w:r>
      <w:r>
        <w:rPr>
          <w:rFonts w:hint="eastAsia" w:cs="宋体" w:asciiTheme="minorEastAsia" w:hAnsiTheme="minorEastAsia" w:eastAsiaTheme="minorEastAsia"/>
          <w:color w:val="auto"/>
          <w:sz w:val="24"/>
          <w:highlight w:val="none"/>
        </w:rPr>
        <w:t>指派代表组成立软件项目管理小组，管理本软件的开发和实施。提供管理小组成员名单和通讯方式。采购人、</w:t>
      </w:r>
      <w:r>
        <w:rPr>
          <w:rFonts w:hint="eastAsia" w:cs="宋体" w:asciiTheme="minorEastAsia" w:hAnsiTheme="minorEastAsia" w:eastAsiaTheme="minorEastAsia"/>
          <w:color w:val="auto"/>
          <w:sz w:val="24"/>
          <w:highlight w:val="none"/>
          <w:lang w:eastAsia="zh-CN"/>
        </w:rPr>
        <w:t>服务商</w:t>
      </w:r>
      <w:r>
        <w:rPr>
          <w:rFonts w:hint="eastAsia" w:cs="宋体" w:asciiTheme="minorEastAsia" w:hAnsiTheme="minorEastAsia" w:eastAsiaTheme="minorEastAsia"/>
          <w:color w:val="auto"/>
          <w:sz w:val="24"/>
          <w:highlight w:val="none"/>
        </w:rPr>
        <w:t>可以根据具体情况重新指定本方的管理小组的成员，但应当以书面方式通知另一方；如一方重新指定的小组成员涉及到本项目的重要工作，更换方应事先征得对方的书面同意。另一方应及时审查更换方提出的书面建议，双方在合理、善意、维护双方利益的基础上讨论更换事宜。</w:t>
      </w:r>
    </w:p>
    <w:p w14:paraId="68EC7F75">
      <w:pPr>
        <w:numPr>
          <w:ilvl w:val="0"/>
          <w:numId w:val="4"/>
        </w:numPr>
        <w:tabs>
          <w:tab w:val="left" w:pos="0"/>
        </w:tabs>
        <w:spacing w:before="120" w:beforeLines="50" w:line="360" w:lineRule="auto"/>
        <w:ind w:left="0" w:firstLine="482" w:firstLineChars="200"/>
        <w:outlineLvl w:val="3"/>
        <w:rPr>
          <w:rFonts w:ascii="宋体"/>
          <w:b/>
          <w:color w:val="auto"/>
          <w:kern w:val="0"/>
          <w:sz w:val="24"/>
          <w:highlight w:val="none"/>
        </w:rPr>
      </w:pPr>
      <w:r>
        <w:rPr>
          <w:rFonts w:hint="eastAsia" w:ascii="宋体" w:hAnsi="宋体"/>
          <w:b/>
          <w:color w:val="auto"/>
          <w:kern w:val="0"/>
          <w:sz w:val="24"/>
          <w:highlight w:val="none"/>
        </w:rPr>
        <w:t>需求分析</w:t>
      </w:r>
    </w:p>
    <w:p w14:paraId="087D2561">
      <w:pP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为保证“软件”更好地满足采购人的工作需要，</w:t>
      </w:r>
      <w:r>
        <w:rPr>
          <w:rFonts w:hint="eastAsia" w:cs="宋体" w:asciiTheme="minorEastAsia" w:hAnsiTheme="minorEastAsia" w:eastAsiaTheme="minorEastAsia"/>
          <w:color w:val="auto"/>
          <w:sz w:val="24"/>
          <w:highlight w:val="none"/>
          <w:lang w:eastAsia="zh-CN"/>
        </w:rPr>
        <w:t>服务商</w:t>
      </w:r>
      <w:r>
        <w:rPr>
          <w:rFonts w:hint="eastAsia" w:cs="宋体" w:asciiTheme="minorEastAsia" w:hAnsiTheme="minorEastAsia" w:eastAsiaTheme="minorEastAsia"/>
          <w:color w:val="auto"/>
          <w:sz w:val="24"/>
          <w:highlight w:val="none"/>
        </w:rPr>
        <w:t>需在实施过程中，阶段性地向采购人征集产品需求，发放需求调查表。采购人项目管理人员在收到产品需求调查表，在10个工作日内，向</w:t>
      </w:r>
      <w:r>
        <w:rPr>
          <w:rFonts w:hint="eastAsia" w:cs="宋体" w:asciiTheme="minorEastAsia" w:hAnsiTheme="minorEastAsia" w:eastAsiaTheme="minorEastAsia"/>
          <w:color w:val="auto"/>
          <w:sz w:val="24"/>
          <w:highlight w:val="none"/>
          <w:lang w:eastAsia="zh-CN"/>
        </w:rPr>
        <w:t>服务商</w:t>
      </w:r>
      <w:r>
        <w:rPr>
          <w:rFonts w:hint="eastAsia" w:cs="宋体" w:asciiTheme="minorEastAsia" w:hAnsiTheme="minorEastAsia" w:eastAsiaTheme="minorEastAsia"/>
          <w:color w:val="auto"/>
          <w:sz w:val="24"/>
          <w:highlight w:val="none"/>
        </w:rPr>
        <w:t>提交填写完成的产品需求调查表。</w:t>
      </w:r>
      <w:r>
        <w:rPr>
          <w:rFonts w:hint="eastAsia" w:cs="宋体" w:asciiTheme="minorEastAsia" w:hAnsiTheme="minorEastAsia" w:eastAsiaTheme="minorEastAsia"/>
          <w:color w:val="auto"/>
          <w:sz w:val="24"/>
          <w:highlight w:val="none"/>
          <w:lang w:eastAsia="zh-CN"/>
        </w:rPr>
        <w:t>服务商</w:t>
      </w:r>
      <w:r>
        <w:rPr>
          <w:rFonts w:hint="eastAsia" w:cs="宋体" w:asciiTheme="minorEastAsia" w:hAnsiTheme="minorEastAsia" w:eastAsiaTheme="minorEastAsia"/>
          <w:color w:val="auto"/>
          <w:sz w:val="24"/>
          <w:highlight w:val="none"/>
        </w:rPr>
        <w:t>在收到采购人反馈产品需求调查表后，应在10个工作日内完成需求分析书。该需求分析书经采购人认可，并由采购双方签字后作为项目实施过程中的文件，由采购双方项目经理各自保存。对于采购人主动提出的需求，</w:t>
      </w:r>
      <w:r>
        <w:rPr>
          <w:rFonts w:hint="eastAsia" w:cs="宋体" w:asciiTheme="minorEastAsia" w:hAnsiTheme="minorEastAsia" w:eastAsiaTheme="minorEastAsia"/>
          <w:color w:val="auto"/>
          <w:sz w:val="24"/>
          <w:highlight w:val="none"/>
          <w:lang w:eastAsia="zh-CN"/>
        </w:rPr>
        <w:t>服务商</w:t>
      </w:r>
      <w:r>
        <w:rPr>
          <w:rFonts w:hint="eastAsia" w:cs="宋体" w:asciiTheme="minorEastAsia" w:hAnsiTheme="minorEastAsia" w:eastAsiaTheme="minorEastAsia"/>
          <w:color w:val="auto"/>
          <w:sz w:val="24"/>
          <w:highlight w:val="none"/>
        </w:rPr>
        <w:t>应予以积极配合，并在收到需求信息后10个工作日内完成需求分析书。该需求分析书经双方签字后作为项目实施文件，由采购双方项目经理各自保存。对于双方确定的需求，</w:t>
      </w:r>
      <w:r>
        <w:rPr>
          <w:rFonts w:hint="eastAsia" w:cs="宋体" w:asciiTheme="minorEastAsia" w:hAnsiTheme="minorEastAsia" w:eastAsiaTheme="minorEastAsia"/>
          <w:color w:val="auto"/>
          <w:sz w:val="24"/>
          <w:highlight w:val="none"/>
          <w:lang w:eastAsia="zh-CN"/>
        </w:rPr>
        <w:t>服务商</w:t>
      </w:r>
      <w:r>
        <w:rPr>
          <w:rFonts w:hint="eastAsia" w:cs="宋体" w:asciiTheme="minorEastAsia" w:hAnsiTheme="minorEastAsia" w:eastAsiaTheme="minorEastAsia"/>
          <w:color w:val="auto"/>
          <w:sz w:val="24"/>
          <w:highlight w:val="none"/>
        </w:rPr>
        <w:t>应积极履行开发及实施责任。</w:t>
      </w:r>
    </w:p>
    <w:p w14:paraId="6154B643">
      <w:pPr>
        <w:spacing w:line="360" w:lineRule="auto"/>
        <w:rPr>
          <w:rFonts w:hint="eastAsia" w:cs="宋体" w:asciiTheme="minorEastAsia" w:hAnsiTheme="minorEastAsia" w:eastAsiaTheme="minorEastAsia"/>
          <w:color w:val="auto"/>
          <w:sz w:val="24"/>
          <w:highlight w:val="none"/>
        </w:rPr>
      </w:pPr>
    </w:p>
    <w:p w14:paraId="06B75439">
      <w:pPr>
        <w:pStyle w:val="2"/>
        <w:numPr>
          <w:ilvl w:val="0"/>
          <w:numId w:val="1"/>
        </w:numPr>
        <w:rPr>
          <w:color w:val="auto"/>
          <w:sz w:val="32"/>
          <w:szCs w:val="32"/>
          <w:highlight w:val="none"/>
        </w:rPr>
      </w:pPr>
      <w:r>
        <w:rPr>
          <w:color w:val="auto"/>
          <w:sz w:val="32"/>
          <w:szCs w:val="32"/>
          <w:highlight w:val="none"/>
        </w:rPr>
        <w:t>服务方式</w:t>
      </w:r>
    </w:p>
    <w:p w14:paraId="79B2D51A">
      <w:pPr>
        <w:numPr>
          <w:ilvl w:val="1"/>
          <w:numId w:val="11"/>
        </w:numPr>
        <w:tabs>
          <w:tab w:val="left" w:pos="1145"/>
        </w:tabs>
        <w:spacing w:line="360" w:lineRule="auto"/>
        <w:ind w:left="9" w:firstLine="211"/>
        <w:jc w:val="left"/>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以现场服务为主，其它电话、邮件指导、远程维护、技术交流方式不限。</w:t>
      </w:r>
    </w:p>
    <w:p w14:paraId="20520AB3">
      <w:pPr>
        <w:numPr>
          <w:ilvl w:val="1"/>
          <w:numId w:val="11"/>
        </w:numPr>
        <w:tabs>
          <w:tab w:val="left" w:pos="1145"/>
        </w:tabs>
        <w:spacing w:line="360" w:lineRule="auto"/>
        <w:ind w:left="9" w:firstLine="211"/>
        <w:jc w:val="left"/>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服务人员服务时间：正常工作日早上8:00—下午18:00。</w:t>
      </w:r>
      <w:r>
        <w:rPr>
          <w:rFonts w:hint="eastAsia" w:cs="宋体" w:asciiTheme="minorEastAsia" w:hAnsiTheme="minorEastAsia" w:eastAsiaTheme="minorEastAsia"/>
          <w:b/>
          <w:bCs/>
          <w:color w:val="auto"/>
          <w:sz w:val="24"/>
          <w:highlight w:val="none"/>
          <w:u w:val="single"/>
        </w:rPr>
        <w:t>非工作时间应安排值班人员。</w:t>
      </w:r>
    </w:p>
    <w:p w14:paraId="3BEDAB91">
      <w:pPr>
        <w:numPr>
          <w:ilvl w:val="1"/>
          <w:numId w:val="11"/>
        </w:numPr>
        <w:tabs>
          <w:tab w:val="left" w:pos="1145"/>
        </w:tabs>
        <w:spacing w:line="360" w:lineRule="auto"/>
        <w:ind w:left="9" w:firstLine="211"/>
        <w:jc w:val="left"/>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专人服务地点：广东省人民医院采购人指定地点。</w:t>
      </w:r>
    </w:p>
    <w:p w14:paraId="46AA0A22">
      <w:pPr>
        <w:numPr>
          <w:ilvl w:val="1"/>
          <w:numId w:val="11"/>
        </w:numPr>
        <w:tabs>
          <w:tab w:val="left" w:pos="1145"/>
        </w:tabs>
        <w:spacing w:line="360" w:lineRule="auto"/>
        <w:ind w:left="9" w:firstLine="211"/>
        <w:jc w:val="left"/>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服务人员工作时应注意言行举止，要求佩戴工作证。</w:t>
      </w:r>
    </w:p>
    <w:p w14:paraId="034CE1CA">
      <w:pPr>
        <w:numPr>
          <w:ilvl w:val="1"/>
          <w:numId w:val="11"/>
        </w:numPr>
        <w:tabs>
          <w:tab w:val="left" w:pos="1145"/>
        </w:tabs>
        <w:spacing w:line="360" w:lineRule="auto"/>
        <w:ind w:left="9" w:firstLine="211"/>
        <w:jc w:val="left"/>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服务人员休假超过1天时</w:t>
      </w:r>
      <w:r>
        <w:rPr>
          <w:rFonts w:hint="eastAsia" w:cs="宋体" w:asciiTheme="minorEastAsia" w:hAnsiTheme="minorEastAsia" w:eastAsiaTheme="minorEastAsia"/>
          <w:color w:val="auto"/>
          <w:sz w:val="24"/>
          <w:highlight w:val="none"/>
          <w:lang w:eastAsia="zh-CN"/>
        </w:rPr>
        <w:t>服务商</w:t>
      </w:r>
      <w:r>
        <w:rPr>
          <w:rFonts w:hint="eastAsia" w:cs="宋体" w:asciiTheme="minorEastAsia" w:hAnsiTheme="minorEastAsia" w:eastAsiaTheme="minorEastAsia"/>
          <w:color w:val="auto"/>
          <w:sz w:val="24"/>
          <w:highlight w:val="none"/>
        </w:rPr>
        <w:t>安排其他人员补充并提前告知采购人。</w:t>
      </w:r>
    </w:p>
    <w:p w14:paraId="651A1527">
      <w:pPr>
        <w:numPr>
          <w:ilvl w:val="1"/>
          <w:numId w:val="11"/>
        </w:numPr>
        <w:tabs>
          <w:tab w:val="left" w:pos="1145"/>
        </w:tabs>
        <w:spacing w:line="360" w:lineRule="auto"/>
        <w:ind w:left="9" w:firstLine="211"/>
        <w:jc w:val="left"/>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服务人员需登记记录故障及处理情况，定期交采购人项目负责人确认；</w:t>
      </w:r>
      <w:r>
        <w:rPr>
          <w:rFonts w:hint="eastAsia" w:cs="宋体" w:asciiTheme="minorEastAsia" w:hAnsiTheme="minorEastAsia" w:eastAsiaTheme="minorEastAsia"/>
          <w:color w:val="auto"/>
          <w:sz w:val="24"/>
          <w:highlight w:val="none"/>
          <w:lang w:eastAsia="zh-CN"/>
        </w:rPr>
        <w:t>服务商</w:t>
      </w:r>
      <w:r>
        <w:rPr>
          <w:rFonts w:hint="eastAsia" w:cs="宋体" w:asciiTheme="minorEastAsia" w:hAnsiTheme="minorEastAsia" w:eastAsiaTheme="minorEastAsia"/>
          <w:color w:val="auto"/>
          <w:sz w:val="24"/>
          <w:highlight w:val="none"/>
        </w:rPr>
        <w:t>在每月5日前完成上月维护服务记录整理、提交采购人信息管理处。</w:t>
      </w:r>
    </w:p>
    <w:p w14:paraId="2E148F74">
      <w:pPr>
        <w:numPr>
          <w:ilvl w:val="1"/>
          <w:numId w:val="11"/>
        </w:numPr>
        <w:tabs>
          <w:tab w:val="left" w:pos="1145"/>
        </w:tabs>
        <w:spacing w:line="360" w:lineRule="auto"/>
        <w:ind w:left="9" w:firstLine="211"/>
        <w:jc w:val="left"/>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eastAsia="zh-CN"/>
        </w:rPr>
        <w:t>服务商</w:t>
      </w:r>
      <w:r>
        <w:rPr>
          <w:rFonts w:hint="eastAsia" w:cs="宋体" w:asciiTheme="minorEastAsia" w:hAnsiTheme="minorEastAsia" w:eastAsiaTheme="minorEastAsia"/>
          <w:color w:val="auto"/>
          <w:sz w:val="24"/>
          <w:highlight w:val="none"/>
        </w:rPr>
        <w:t>需在每月25日前需提供“节假日期间值班安排”给采购人信息管理处。</w:t>
      </w:r>
    </w:p>
    <w:p w14:paraId="522DC09A">
      <w:pPr>
        <w:numPr>
          <w:ilvl w:val="1"/>
          <w:numId w:val="11"/>
        </w:numPr>
        <w:tabs>
          <w:tab w:val="left" w:pos="1145"/>
        </w:tabs>
        <w:spacing w:line="360" w:lineRule="auto"/>
        <w:ind w:left="9" w:firstLine="211"/>
        <w:jc w:val="left"/>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eastAsia="zh-CN"/>
        </w:rPr>
        <w:t>服务商</w:t>
      </w:r>
      <w:r>
        <w:rPr>
          <w:rFonts w:hint="eastAsia" w:cs="宋体" w:asciiTheme="minorEastAsia" w:hAnsiTheme="minorEastAsia" w:eastAsiaTheme="minorEastAsia"/>
          <w:color w:val="auto"/>
          <w:sz w:val="24"/>
          <w:highlight w:val="none"/>
        </w:rPr>
        <w:t>需配合采购人信息管理处定期走访采购人重点用户部门，与用户进行现场交流，并解答用户问题。</w:t>
      </w:r>
    </w:p>
    <w:p w14:paraId="6E8A66A2">
      <w:pPr>
        <w:numPr>
          <w:ilvl w:val="1"/>
          <w:numId w:val="11"/>
        </w:numPr>
        <w:tabs>
          <w:tab w:val="left" w:pos="1145"/>
        </w:tabs>
        <w:spacing w:line="360" w:lineRule="auto"/>
        <w:ind w:left="9" w:firstLine="211"/>
        <w:jc w:val="left"/>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eastAsia="zh-CN"/>
        </w:rPr>
        <w:t>服务商</w:t>
      </w:r>
      <w:r>
        <w:rPr>
          <w:rFonts w:hint="eastAsia" w:cs="宋体" w:asciiTheme="minorEastAsia" w:hAnsiTheme="minorEastAsia" w:eastAsiaTheme="minorEastAsia"/>
          <w:color w:val="auto"/>
          <w:sz w:val="24"/>
          <w:highlight w:val="none"/>
        </w:rPr>
        <w:t>应对服务质量予以保证，采购人有权根据服务评级方案（见附件1《广东省人民医院信息项目供应商履约评价方案确认书》），每季度对HIS维护的服务质量及每次版本实施的效果进行评价考核。评价考核结果与运维年度维护验收挂钩。</w:t>
      </w:r>
    </w:p>
    <w:p w14:paraId="25CC62BE">
      <w:pPr>
        <w:pStyle w:val="8"/>
        <w:rPr>
          <w:rFonts w:hint="eastAsia" w:cs="宋体" w:asciiTheme="minorEastAsia" w:hAnsiTheme="minorEastAsia" w:eastAsiaTheme="minorEastAsia"/>
          <w:color w:val="auto"/>
          <w:highlight w:val="none"/>
        </w:rPr>
      </w:pPr>
    </w:p>
    <w:p w14:paraId="0FB9D152">
      <w:pPr>
        <w:pStyle w:val="2"/>
        <w:numPr>
          <w:ilvl w:val="0"/>
          <w:numId w:val="1"/>
        </w:numPr>
        <w:rPr>
          <w:color w:val="auto"/>
          <w:sz w:val="32"/>
          <w:szCs w:val="32"/>
          <w:highlight w:val="none"/>
        </w:rPr>
      </w:pPr>
      <w:r>
        <w:rPr>
          <w:color w:val="auto"/>
          <w:sz w:val="32"/>
          <w:szCs w:val="32"/>
          <w:highlight w:val="none"/>
        </w:rPr>
        <w:t>服务人员要求</w:t>
      </w:r>
    </w:p>
    <w:p w14:paraId="4FE4423F">
      <w:pPr>
        <w:numPr>
          <w:ilvl w:val="1"/>
          <w:numId w:val="12"/>
        </w:numPr>
        <w:tabs>
          <w:tab w:val="left" w:pos="1145"/>
        </w:tabs>
        <w:spacing w:line="360" w:lineRule="auto"/>
        <w:ind w:left="9" w:firstLine="211"/>
        <w:jc w:val="left"/>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eastAsia="zh-CN"/>
        </w:rPr>
        <w:t>服务商</w:t>
      </w:r>
      <w:r>
        <w:rPr>
          <w:rFonts w:hint="eastAsia" w:cs="宋体" w:asciiTheme="minorEastAsia" w:hAnsiTheme="minorEastAsia" w:eastAsiaTheme="minorEastAsia"/>
          <w:color w:val="auto"/>
          <w:sz w:val="24"/>
          <w:highlight w:val="none"/>
        </w:rPr>
        <w:t>须为本项目成立专门的项目组开展工作，同时应指派专人分别负责日常现场运维，功能调整修改和接口开发，按时完成工作内容。项目组有明确的岗位职责与分工，确保使项目按质、按量、按时及有序实施。具有完善的组织架构、队伍管理机制、岗位目标管理责任制、绩效考核机制，完善人才队伍,配备专业人员确保人员合同期内稳定性。</w:t>
      </w:r>
    </w:p>
    <w:p w14:paraId="72350FAD">
      <w:pPr>
        <w:numPr>
          <w:ilvl w:val="1"/>
          <w:numId w:val="12"/>
        </w:numPr>
        <w:tabs>
          <w:tab w:val="left" w:pos="1145"/>
        </w:tabs>
        <w:spacing w:line="360" w:lineRule="auto"/>
        <w:ind w:left="9" w:firstLine="211"/>
        <w:jc w:val="left"/>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eastAsia="zh-CN"/>
        </w:rPr>
        <w:t>服务商</w:t>
      </w:r>
      <w:r>
        <w:rPr>
          <w:rFonts w:hint="eastAsia" w:cs="宋体" w:asciiTheme="minorEastAsia" w:hAnsiTheme="minorEastAsia" w:eastAsiaTheme="minorEastAsia"/>
          <w:color w:val="auto"/>
          <w:sz w:val="24"/>
          <w:highlight w:val="none"/>
        </w:rPr>
        <w:t>应在投标方案中明确本项目的项目经理和技术团队，项目经理和技术团队应当具有与本项目相关的技术水平和服务经验。项目实施时，</w:t>
      </w:r>
      <w:r>
        <w:rPr>
          <w:rFonts w:hint="eastAsia" w:cs="宋体" w:asciiTheme="minorEastAsia" w:hAnsiTheme="minorEastAsia" w:eastAsiaTheme="minorEastAsia"/>
          <w:color w:val="auto"/>
          <w:sz w:val="24"/>
          <w:highlight w:val="none"/>
          <w:lang w:eastAsia="zh-CN"/>
        </w:rPr>
        <w:t>服务商</w:t>
      </w:r>
      <w:r>
        <w:rPr>
          <w:rFonts w:hint="eastAsia" w:cs="宋体" w:asciiTheme="minorEastAsia" w:hAnsiTheme="minorEastAsia" w:eastAsiaTheme="minorEastAsia"/>
          <w:color w:val="auto"/>
          <w:sz w:val="24"/>
          <w:highlight w:val="none"/>
        </w:rPr>
        <w:t>应当严格按照本项目投标文件响应情况指派专职项目经理，具体负责本项目的实施并与采购人接洽。</w:t>
      </w:r>
      <w:r>
        <w:rPr>
          <w:rFonts w:hint="eastAsia" w:cs="宋体" w:asciiTheme="minorEastAsia" w:hAnsiTheme="minorEastAsia" w:eastAsiaTheme="minorEastAsia"/>
          <w:color w:val="auto"/>
          <w:sz w:val="24"/>
          <w:highlight w:val="none"/>
          <w:lang w:eastAsia="zh-CN"/>
        </w:rPr>
        <w:t>服务商</w:t>
      </w:r>
      <w:r>
        <w:rPr>
          <w:rFonts w:hint="eastAsia" w:cs="宋体" w:asciiTheme="minorEastAsia" w:hAnsiTheme="minorEastAsia" w:eastAsiaTheme="minorEastAsia"/>
          <w:color w:val="auto"/>
          <w:sz w:val="24"/>
          <w:highlight w:val="none"/>
        </w:rPr>
        <w:t>应当严格按照本项目投标文件响应情况投入与本项目相适应的、充足的服务人员进行本项目工作。</w:t>
      </w:r>
    </w:p>
    <w:p w14:paraId="5F793C80">
      <w:pPr>
        <w:numPr>
          <w:ilvl w:val="1"/>
          <w:numId w:val="12"/>
        </w:numPr>
        <w:tabs>
          <w:tab w:val="left" w:pos="1145"/>
        </w:tabs>
        <w:spacing w:line="360" w:lineRule="auto"/>
        <w:ind w:left="9" w:firstLine="211"/>
        <w:jc w:val="left"/>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 xml:space="preserve"> </w:t>
      </w:r>
      <w:r>
        <w:rPr>
          <w:rFonts w:hint="eastAsia" w:cs="宋体" w:asciiTheme="minorEastAsia" w:hAnsiTheme="minorEastAsia" w:eastAsiaTheme="minorEastAsia"/>
          <w:color w:val="auto"/>
          <w:sz w:val="24"/>
          <w:highlight w:val="none"/>
          <w:lang w:eastAsia="zh-CN"/>
        </w:rPr>
        <w:t>服务商</w:t>
      </w:r>
      <w:r>
        <w:rPr>
          <w:rFonts w:hint="eastAsia" w:cs="宋体" w:asciiTheme="minorEastAsia" w:hAnsiTheme="minorEastAsia" w:eastAsiaTheme="minorEastAsia"/>
          <w:color w:val="auto"/>
          <w:sz w:val="24"/>
          <w:highlight w:val="none"/>
        </w:rPr>
        <w:t>不得随意调整项目人员，如确需调整的，应报请采购人同意。未经采购人同意，</w:t>
      </w:r>
      <w:r>
        <w:rPr>
          <w:rFonts w:hint="eastAsia" w:cs="宋体" w:asciiTheme="minorEastAsia" w:hAnsiTheme="minorEastAsia" w:eastAsiaTheme="minorEastAsia"/>
          <w:color w:val="auto"/>
          <w:sz w:val="24"/>
          <w:highlight w:val="none"/>
          <w:lang w:eastAsia="zh-CN"/>
        </w:rPr>
        <w:t>服务商</w:t>
      </w:r>
      <w:r>
        <w:rPr>
          <w:rFonts w:hint="eastAsia" w:cs="宋体" w:asciiTheme="minorEastAsia" w:hAnsiTheme="minorEastAsia" w:eastAsiaTheme="minorEastAsia"/>
          <w:color w:val="auto"/>
          <w:sz w:val="24"/>
          <w:highlight w:val="none"/>
        </w:rPr>
        <w:t>不得随意调整项目负责人及团队技术人员。</w:t>
      </w:r>
    </w:p>
    <w:p w14:paraId="06E45104">
      <w:pPr>
        <w:pStyle w:val="2"/>
        <w:numPr>
          <w:ilvl w:val="0"/>
          <w:numId w:val="1"/>
        </w:numPr>
        <w:rPr>
          <w:color w:val="auto"/>
          <w:sz w:val="32"/>
          <w:szCs w:val="32"/>
          <w:highlight w:val="none"/>
        </w:rPr>
      </w:pPr>
      <w:r>
        <w:rPr>
          <w:color w:val="auto"/>
          <w:sz w:val="32"/>
          <w:szCs w:val="32"/>
          <w:highlight w:val="none"/>
        </w:rPr>
        <w:t>服务时间</w:t>
      </w:r>
    </w:p>
    <w:p w14:paraId="1AC5F38C">
      <w:pPr>
        <w:tabs>
          <w:tab w:val="left" w:pos="567"/>
        </w:tabs>
        <w:spacing w:before="120" w:beforeLines="50" w:line="360" w:lineRule="auto"/>
        <w:ind w:firstLine="480" w:firstLineChars="200"/>
        <w:rPr>
          <w:rFonts w:hint="eastAsia" w:ascii="宋体" w:hAnsi="宋体"/>
          <w:color w:val="auto"/>
          <w:szCs w:val="21"/>
          <w:highlight w:val="none"/>
        </w:rPr>
      </w:pPr>
      <w:r>
        <w:rPr>
          <w:rFonts w:cs="宋体" w:asciiTheme="minorEastAsia" w:hAnsiTheme="minorEastAsia" w:eastAsiaTheme="minorEastAsia"/>
          <w:color w:val="auto"/>
          <w:sz w:val="24"/>
          <w:highlight w:val="none"/>
        </w:rPr>
        <w:t>202</w:t>
      </w:r>
      <w:r>
        <w:rPr>
          <w:rFonts w:hint="eastAsia" w:cs="宋体" w:asciiTheme="minorEastAsia" w:hAnsiTheme="minorEastAsia" w:eastAsiaTheme="minorEastAsia"/>
          <w:color w:val="auto"/>
          <w:sz w:val="24"/>
          <w:highlight w:val="none"/>
          <w:lang w:val="en-US" w:eastAsia="zh-CN"/>
        </w:rPr>
        <w:t>6</w:t>
      </w:r>
      <w:r>
        <w:rPr>
          <w:rFonts w:hint="eastAsia" w:cs="宋体" w:asciiTheme="minorEastAsia" w:hAnsiTheme="minorEastAsia" w:eastAsiaTheme="minorEastAsia"/>
          <w:color w:val="auto"/>
          <w:sz w:val="24"/>
          <w:highlight w:val="none"/>
        </w:rPr>
        <w:t>年</w:t>
      </w:r>
      <w:r>
        <w:rPr>
          <w:rFonts w:cs="宋体" w:asciiTheme="minorEastAsia" w:hAnsiTheme="minorEastAsia" w:eastAsiaTheme="minorEastAsia"/>
          <w:color w:val="auto"/>
          <w:sz w:val="24"/>
          <w:highlight w:val="none"/>
        </w:rPr>
        <w:t>12</w:t>
      </w:r>
      <w:r>
        <w:rPr>
          <w:rFonts w:hint="eastAsia" w:cs="宋体" w:asciiTheme="minorEastAsia" w:hAnsiTheme="minorEastAsia" w:eastAsiaTheme="minorEastAsia"/>
          <w:color w:val="auto"/>
          <w:sz w:val="24"/>
          <w:highlight w:val="none"/>
        </w:rPr>
        <w:t>月</w:t>
      </w:r>
      <w:r>
        <w:rPr>
          <w:rFonts w:cs="宋体" w:asciiTheme="minorEastAsia" w:hAnsiTheme="minorEastAsia" w:eastAsiaTheme="minorEastAsia"/>
          <w:color w:val="auto"/>
          <w:sz w:val="24"/>
          <w:highlight w:val="none"/>
        </w:rPr>
        <w:t>2</w:t>
      </w:r>
      <w:r>
        <w:rPr>
          <w:rFonts w:hint="eastAsia" w:cs="宋体" w:asciiTheme="minorEastAsia" w:hAnsiTheme="minorEastAsia" w:eastAsiaTheme="minorEastAsia"/>
          <w:color w:val="auto"/>
          <w:sz w:val="24"/>
          <w:highlight w:val="none"/>
        </w:rPr>
        <w:t>日至</w:t>
      </w:r>
      <w:r>
        <w:rPr>
          <w:rFonts w:cs="宋体" w:asciiTheme="minorEastAsia" w:hAnsiTheme="minorEastAsia" w:eastAsiaTheme="minorEastAsia"/>
          <w:color w:val="auto"/>
          <w:sz w:val="24"/>
          <w:highlight w:val="none"/>
        </w:rPr>
        <w:t>20</w:t>
      </w:r>
      <w:r>
        <w:rPr>
          <w:rFonts w:hint="eastAsia" w:cs="宋体" w:asciiTheme="minorEastAsia" w:hAnsiTheme="minorEastAsia" w:eastAsiaTheme="minorEastAsia"/>
          <w:color w:val="auto"/>
          <w:sz w:val="24"/>
          <w:highlight w:val="none"/>
          <w:lang w:val="en-US" w:eastAsia="zh-CN"/>
        </w:rPr>
        <w:t>27</w:t>
      </w:r>
      <w:r>
        <w:rPr>
          <w:rFonts w:hint="eastAsia" w:cs="宋体" w:asciiTheme="minorEastAsia" w:hAnsiTheme="minorEastAsia" w:eastAsiaTheme="minorEastAsia"/>
          <w:color w:val="auto"/>
          <w:sz w:val="24"/>
          <w:highlight w:val="none"/>
        </w:rPr>
        <w:t>年</w:t>
      </w:r>
      <w:r>
        <w:rPr>
          <w:rFonts w:cs="宋体" w:asciiTheme="minorEastAsia" w:hAnsiTheme="minorEastAsia" w:eastAsiaTheme="minorEastAsia"/>
          <w:color w:val="auto"/>
          <w:sz w:val="24"/>
          <w:highlight w:val="none"/>
        </w:rPr>
        <w:t>12</w:t>
      </w:r>
      <w:r>
        <w:rPr>
          <w:rFonts w:hint="eastAsia" w:cs="宋体" w:asciiTheme="minorEastAsia" w:hAnsiTheme="minorEastAsia" w:eastAsiaTheme="minorEastAsia"/>
          <w:color w:val="auto"/>
          <w:sz w:val="24"/>
          <w:highlight w:val="none"/>
        </w:rPr>
        <w:t>月</w:t>
      </w:r>
      <w:r>
        <w:rPr>
          <w:rFonts w:cs="宋体" w:asciiTheme="minorEastAsia" w:hAnsiTheme="minorEastAsia" w:eastAsiaTheme="minorEastAsia"/>
          <w:color w:val="auto"/>
          <w:sz w:val="24"/>
          <w:highlight w:val="none"/>
        </w:rPr>
        <w:t>1</w:t>
      </w:r>
      <w:r>
        <w:rPr>
          <w:rFonts w:hint="eastAsia" w:cs="宋体" w:asciiTheme="minorEastAsia" w:hAnsiTheme="minorEastAsia" w:eastAsiaTheme="minorEastAsia"/>
          <w:color w:val="auto"/>
          <w:sz w:val="24"/>
          <w:highlight w:val="none"/>
        </w:rPr>
        <w:t>日</w:t>
      </w:r>
      <w:r>
        <w:rPr>
          <w:rFonts w:hint="eastAsia" w:ascii="宋体" w:hAnsi="宋体"/>
          <w:color w:val="auto"/>
          <w:szCs w:val="21"/>
          <w:highlight w:val="none"/>
        </w:rPr>
        <w:t>。</w:t>
      </w:r>
    </w:p>
    <w:p w14:paraId="2BCFAAF6">
      <w:pPr>
        <w:tabs>
          <w:tab w:val="left" w:pos="567"/>
        </w:tabs>
        <w:spacing w:before="120" w:beforeLines="50" w:line="360" w:lineRule="auto"/>
        <w:ind w:firstLine="420" w:firstLineChars="200"/>
        <w:rPr>
          <w:rFonts w:hint="eastAsia" w:ascii="宋体" w:hAnsi="宋体"/>
          <w:color w:val="auto"/>
          <w:szCs w:val="21"/>
          <w:highlight w:val="none"/>
        </w:rPr>
      </w:pPr>
    </w:p>
    <w:p w14:paraId="0D7FEBAF">
      <w:pPr>
        <w:pStyle w:val="2"/>
        <w:numPr>
          <w:ilvl w:val="0"/>
          <w:numId w:val="1"/>
        </w:numPr>
        <w:rPr>
          <w:color w:val="auto"/>
          <w:sz w:val="32"/>
          <w:szCs w:val="32"/>
          <w:highlight w:val="none"/>
        </w:rPr>
      </w:pPr>
      <w:r>
        <w:rPr>
          <w:color w:val="auto"/>
          <w:sz w:val="32"/>
          <w:szCs w:val="32"/>
          <w:highlight w:val="none"/>
        </w:rPr>
        <w:t>服务响应要求</w:t>
      </w:r>
    </w:p>
    <w:p w14:paraId="1AA06F8F">
      <w:pPr>
        <w:numPr>
          <w:ilvl w:val="1"/>
          <w:numId w:val="13"/>
        </w:numPr>
        <w:tabs>
          <w:tab w:val="left" w:pos="1145"/>
        </w:tabs>
        <w:spacing w:line="360" w:lineRule="auto"/>
        <w:ind w:left="9" w:firstLine="211"/>
        <w:jc w:val="left"/>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日常维护响应</w:t>
      </w:r>
    </w:p>
    <w:p w14:paraId="16CC8FA3">
      <w:pP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工作期间（正常工作日8：00-18：00），信息系统故障响应时间不超过0.5小时，到达现场时间不超过1小时；非工作期间，信息系统故障响应时间不超过1小时，到达现场时间不超过2小时。</w:t>
      </w:r>
      <w:r>
        <w:rPr>
          <w:rFonts w:hint="eastAsia" w:cs="宋体" w:asciiTheme="minorEastAsia" w:hAnsiTheme="minorEastAsia" w:eastAsiaTheme="minorEastAsia"/>
          <w:color w:val="auto"/>
          <w:sz w:val="24"/>
          <w:highlight w:val="none"/>
          <w:lang w:eastAsia="zh-CN"/>
        </w:rPr>
        <w:t>服务商</w:t>
      </w:r>
      <w:r>
        <w:rPr>
          <w:rFonts w:hint="eastAsia" w:cs="宋体" w:asciiTheme="minorEastAsia" w:hAnsiTheme="minorEastAsia" w:eastAsiaTheme="minorEastAsia"/>
          <w:color w:val="auto"/>
          <w:sz w:val="24"/>
          <w:highlight w:val="none"/>
        </w:rPr>
        <w:t>应提出故障解决方案，工作至故障修妥完全恢复正常服务为止，修复时间不超过2个工作日。</w:t>
      </w:r>
    </w:p>
    <w:p w14:paraId="71494E28">
      <w:pPr>
        <w:numPr>
          <w:ilvl w:val="1"/>
          <w:numId w:val="13"/>
        </w:numPr>
        <w:tabs>
          <w:tab w:val="left" w:pos="1145"/>
        </w:tabs>
        <w:spacing w:line="360" w:lineRule="auto"/>
        <w:ind w:left="9" w:firstLine="211"/>
        <w:jc w:val="left"/>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修改调整、系统集成响应</w:t>
      </w:r>
    </w:p>
    <w:p w14:paraId="0C619177">
      <w:pP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eastAsia="zh-CN"/>
        </w:rPr>
        <w:t>服务商</w:t>
      </w:r>
      <w:r>
        <w:rPr>
          <w:rFonts w:hint="eastAsia" w:cs="宋体" w:asciiTheme="minorEastAsia" w:hAnsiTheme="minorEastAsia" w:eastAsiaTheme="minorEastAsia"/>
          <w:color w:val="auto"/>
          <w:sz w:val="24"/>
          <w:highlight w:val="none"/>
        </w:rPr>
        <w:t>应在采购人提交修改调整内容后的20天内落实交付。</w:t>
      </w:r>
    </w:p>
    <w:p w14:paraId="6294B3F0">
      <w:pP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若</w:t>
      </w:r>
      <w:r>
        <w:rPr>
          <w:rFonts w:hint="eastAsia" w:cs="宋体" w:asciiTheme="minorEastAsia" w:hAnsiTheme="minorEastAsia" w:eastAsiaTheme="minorEastAsia"/>
          <w:color w:val="auto"/>
          <w:sz w:val="24"/>
          <w:highlight w:val="none"/>
          <w:lang w:eastAsia="zh-CN"/>
        </w:rPr>
        <w:t>服务商</w:t>
      </w:r>
      <w:r>
        <w:rPr>
          <w:rFonts w:hint="eastAsia" w:cs="宋体" w:asciiTheme="minorEastAsia" w:hAnsiTheme="minorEastAsia" w:eastAsiaTheme="minorEastAsia"/>
          <w:color w:val="auto"/>
          <w:sz w:val="24"/>
          <w:highlight w:val="none"/>
        </w:rPr>
        <w:t>未能及时进行需求响应，采购人有权终止维护合同。</w:t>
      </w:r>
    </w:p>
    <w:p w14:paraId="6BD40D13">
      <w:pPr>
        <w:numPr>
          <w:ilvl w:val="1"/>
          <w:numId w:val="13"/>
        </w:numPr>
        <w:tabs>
          <w:tab w:val="left" w:pos="1145"/>
        </w:tabs>
        <w:spacing w:line="360" w:lineRule="auto"/>
        <w:ind w:left="9" w:firstLine="211"/>
        <w:jc w:val="left"/>
        <w:rPr>
          <w:rFonts w:hint="eastAsia" w:ascii="宋体" w:hAnsi="宋体"/>
          <w:color w:val="auto"/>
          <w:szCs w:val="21"/>
          <w:highlight w:val="none"/>
        </w:rPr>
      </w:pPr>
      <w:r>
        <w:rPr>
          <w:rFonts w:hint="eastAsia" w:cs="宋体" w:asciiTheme="minorEastAsia" w:hAnsiTheme="minorEastAsia" w:eastAsiaTheme="minorEastAsia"/>
          <w:color w:val="auto"/>
          <w:sz w:val="24"/>
          <w:highlight w:val="none"/>
          <w:lang w:eastAsia="zh-CN"/>
        </w:rPr>
        <w:t>服务商</w:t>
      </w:r>
      <w:r>
        <w:rPr>
          <w:rFonts w:hint="eastAsia" w:cs="宋体" w:asciiTheme="minorEastAsia" w:hAnsiTheme="minorEastAsia" w:eastAsiaTheme="minorEastAsia"/>
          <w:color w:val="auto"/>
          <w:sz w:val="24"/>
          <w:highlight w:val="none"/>
        </w:rPr>
        <w:t>应作出无推诿承诺</w:t>
      </w:r>
    </w:p>
    <w:p w14:paraId="7E2151D7">
      <w:pP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即</w:t>
      </w:r>
      <w:r>
        <w:rPr>
          <w:rFonts w:hint="eastAsia" w:cs="宋体" w:asciiTheme="minorEastAsia" w:hAnsiTheme="minorEastAsia" w:eastAsiaTheme="minorEastAsia"/>
          <w:color w:val="auto"/>
          <w:sz w:val="24"/>
          <w:highlight w:val="none"/>
          <w:lang w:eastAsia="zh-CN"/>
        </w:rPr>
        <w:t>服务商</w:t>
      </w:r>
      <w:r>
        <w:rPr>
          <w:rFonts w:hint="eastAsia" w:cs="宋体" w:asciiTheme="minorEastAsia" w:hAnsiTheme="minorEastAsia" w:eastAsiaTheme="minorEastAsia"/>
          <w:color w:val="auto"/>
          <w:sz w:val="24"/>
          <w:highlight w:val="none"/>
        </w:rPr>
        <w:t>在收到采购人报修通知及要求后，须按照日常维护响应时间要求派技术人员到场，全力协助、使系统尽快恢复正常。</w:t>
      </w:r>
    </w:p>
    <w:p w14:paraId="619B3B9F">
      <w:pPr>
        <w:numPr>
          <w:ilvl w:val="1"/>
          <w:numId w:val="13"/>
        </w:numPr>
        <w:tabs>
          <w:tab w:val="left" w:pos="1145"/>
        </w:tabs>
        <w:spacing w:line="360" w:lineRule="auto"/>
        <w:ind w:left="9" w:firstLine="211"/>
        <w:jc w:val="left"/>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提供详细的维护人员清单</w:t>
      </w:r>
    </w:p>
    <w:p w14:paraId="71389BBE">
      <w:pPr>
        <w:tabs>
          <w:tab w:val="left" w:pos="0"/>
          <w:tab w:val="left" w:pos="210"/>
          <w:tab w:val="left" w:pos="567"/>
        </w:tabs>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服务商</w:t>
      </w:r>
      <w:r>
        <w:rPr>
          <w:rFonts w:hint="eastAsia" w:asciiTheme="minorEastAsia" w:hAnsiTheme="minorEastAsia" w:eastAsiaTheme="minorEastAsia"/>
          <w:color w:val="auto"/>
          <w:sz w:val="24"/>
          <w:highlight w:val="none"/>
        </w:rPr>
        <w:t>应有专门的维护部门并指定固定技术力量用于信息系统维护，并向采购人提供详细的维护人员清单及其联系方式。</w:t>
      </w:r>
    </w:p>
    <w:p w14:paraId="7F6DB07B">
      <w:pPr>
        <w:numPr>
          <w:ilvl w:val="1"/>
          <w:numId w:val="13"/>
        </w:numPr>
        <w:tabs>
          <w:tab w:val="left" w:pos="1145"/>
        </w:tabs>
        <w:spacing w:line="360" w:lineRule="auto"/>
        <w:ind w:left="9" w:firstLine="211"/>
        <w:jc w:val="left"/>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系统维护工作要求</w:t>
      </w:r>
    </w:p>
    <w:p w14:paraId="48B752EB">
      <w:pPr>
        <w:numPr>
          <w:ilvl w:val="0"/>
          <w:numId w:val="14"/>
        </w:numPr>
        <w:tabs>
          <w:tab w:val="left" w:pos="0"/>
          <w:tab w:val="left" w:pos="210"/>
          <w:tab w:val="left" w:pos="567"/>
        </w:tabs>
        <w:spacing w:line="360" w:lineRule="auto"/>
        <w:ind w:left="0"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服务商</w:t>
      </w:r>
      <w:r>
        <w:rPr>
          <w:rFonts w:hint="eastAsia" w:asciiTheme="minorEastAsia" w:hAnsiTheme="minorEastAsia" w:eastAsiaTheme="minorEastAsia"/>
          <w:color w:val="auto"/>
          <w:sz w:val="24"/>
          <w:highlight w:val="none"/>
        </w:rPr>
        <w:t>须有完整的维护记录管理，确保所有问题提出及处理有记录，有供双方共同记录反馈的简捷的操作方式，达到经双方确认真实可信，可跟踪问题解决情况，查询所有维护记录，并可作为验收依据。</w:t>
      </w:r>
    </w:p>
    <w:p w14:paraId="2C74AA58">
      <w:pPr>
        <w:numPr>
          <w:ilvl w:val="0"/>
          <w:numId w:val="14"/>
        </w:numPr>
        <w:tabs>
          <w:tab w:val="left" w:pos="0"/>
          <w:tab w:val="left" w:pos="210"/>
          <w:tab w:val="left" w:pos="567"/>
        </w:tabs>
        <w:spacing w:line="360" w:lineRule="auto"/>
        <w:ind w:left="0"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服务商</w:t>
      </w:r>
      <w:r>
        <w:rPr>
          <w:rFonts w:hint="eastAsia" w:asciiTheme="minorEastAsia" w:hAnsiTheme="minorEastAsia" w:eastAsiaTheme="minorEastAsia"/>
          <w:color w:val="auto"/>
          <w:sz w:val="24"/>
          <w:highlight w:val="none"/>
        </w:rPr>
        <w:t>需根据采购人要求，安排维护人员使用采购人项目管理平台系统中的需求管理模块和缺陷（报障）管理模块，接收采购人相关报障及需求信息，并反馈相应处理信息，该维护记录可作为维保履约证明。</w:t>
      </w:r>
    </w:p>
    <w:p w14:paraId="729997B8">
      <w:pPr>
        <w:numPr>
          <w:ilvl w:val="0"/>
          <w:numId w:val="14"/>
        </w:numPr>
        <w:tabs>
          <w:tab w:val="left" w:pos="0"/>
          <w:tab w:val="left" w:pos="210"/>
          <w:tab w:val="left" w:pos="567"/>
        </w:tabs>
        <w:spacing w:line="360" w:lineRule="auto"/>
        <w:ind w:left="0"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定期（每月）进行系统巡检，对系统运行的软硬件情况（尤其是数据库环境）进行监控，并出具巡检报告，针对潜在的风险应提供解决方案并实施。</w:t>
      </w:r>
    </w:p>
    <w:p w14:paraId="05B3CE9B">
      <w:pPr>
        <w:rPr>
          <w:color w:val="auto"/>
          <w:highlight w:val="none"/>
        </w:rPr>
      </w:pPr>
    </w:p>
    <w:p w14:paraId="6C6A0345">
      <w:pPr>
        <w:pStyle w:val="2"/>
        <w:numPr>
          <w:ilvl w:val="0"/>
          <w:numId w:val="1"/>
        </w:numPr>
        <w:rPr>
          <w:color w:val="auto"/>
          <w:sz w:val="32"/>
          <w:szCs w:val="32"/>
          <w:highlight w:val="none"/>
        </w:rPr>
      </w:pPr>
      <w:r>
        <w:rPr>
          <w:color w:val="auto"/>
          <w:sz w:val="32"/>
          <w:szCs w:val="32"/>
          <w:highlight w:val="none"/>
        </w:rPr>
        <w:t>维护服务验收</w:t>
      </w:r>
    </w:p>
    <w:p w14:paraId="768EF039">
      <w:pPr>
        <w:numPr>
          <w:ilvl w:val="1"/>
          <w:numId w:val="15"/>
        </w:numPr>
        <w:tabs>
          <w:tab w:val="left" w:pos="1145"/>
        </w:tabs>
        <w:spacing w:line="360" w:lineRule="auto"/>
        <w:ind w:left="9" w:firstLine="211"/>
        <w:jc w:val="left"/>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验收时间</w:t>
      </w:r>
    </w:p>
    <w:p w14:paraId="656B6EB0">
      <w:pP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服务期满，由</w:t>
      </w:r>
      <w:r>
        <w:rPr>
          <w:rFonts w:hint="eastAsia" w:cs="宋体" w:asciiTheme="minorEastAsia" w:hAnsiTheme="minorEastAsia" w:eastAsiaTheme="minorEastAsia"/>
          <w:color w:val="auto"/>
          <w:sz w:val="24"/>
          <w:highlight w:val="none"/>
          <w:lang w:eastAsia="zh-CN"/>
        </w:rPr>
        <w:t>服务商</w:t>
      </w:r>
      <w:r>
        <w:rPr>
          <w:rFonts w:hint="eastAsia" w:cs="宋体" w:asciiTheme="minorEastAsia" w:hAnsiTheme="minorEastAsia" w:eastAsiaTheme="minorEastAsia"/>
          <w:color w:val="auto"/>
          <w:sz w:val="24"/>
          <w:highlight w:val="none"/>
        </w:rPr>
        <w:t>向采购人申请验收，采购人在收到验收申请后30天内组织验收。</w:t>
      </w:r>
    </w:p>
    <w:p w14:paraId="05062B09">
      <w:pPr>
        <w:numPr>
          <w:ilvl w:val="1"/>
          <w:numId w:val="15"/>
        </w:numPr>
        <w:tabs>
          <w:tab w:val="left" w:pos="1145"/>
        </w:tabs>
        <w:spacing w:line="360" w:lineRule="auto"/>
        <w:ind w:left="9" w:firstLine="211"/>
        <w:jc w:val="left"/>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验收人员：</w:t>
      </w:r>
    </w:p>
    <w:p w14:paraId="38EC7682">
      <w:pP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双方相关人员。</w:t>
      </w:r>
    </w:p>
    <w:p w14:paraId="2F205CFE">
      <w:pPr>
        <w:numPr>
          <w:ilvl w:val="1"/>
          <w:numId w:val="15"/>
        </w:numPr>
        <w:tabs>
          <w:tab w:val="left" w:pos="1145"/>
        </w:tabs>
        <w:spacing w:line="360" w:lineRule="auto"/>
        <w:ind w:left="9" w:firstLine="211"/>
        <w:jc w:val="left"/>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验收标准</w:t>
      </w:r>
    </w:p>
    <w:p w14:paraId="627B6716">
      <w:pP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eastAsia="zh-CN"/>
        </w:rPr>
        <w:t>服务商</w:t>
      </w:r>
      <w:r>
        <w:rPr>
          <w:rFonts w:hint="eastAsia" w:cs="宋体" w:asciiTheme="minorEastAsia" w:hAnsiTheme="minorEastAsia" w:eastAsiaTheme="minorEastAsia"/>
          <w:color w:val="auto"/>
          <w:sz w:val="24"/>
          <w:highlight w:val="none"/>
        </w:rPr>
        <w:t>提供维护记录（日常维护记录、履约评分情况、服务器巡检记录，需求完成进度记录）经采购人审核确认后验收。</w:t>
      </w:r>
    </w:p>
    <w:p w14:paraId="21906F25">
      <w:pPr>
        <w:numPr>
          <w:ilvl w:val="1"/>
          <w:numId w:val="15"/>
        </w:numPr>
        <w:tabs>
          <w:tab w:val="left" w:pos="1145"/>
        </w:tabs>
        <w:spacing w:line="360" w:lineRule="auto"/>
        <w:ind w:left="9" w:firstLine="211"/>
        <w:jc w:val="left"/>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双方约定</w:t>
      </w:r>
    </w:p>
    <w:p w14:paraId="73E33B85">
      <w:pP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双方同意，任何一方以非正当理由拖延验收，将承担相应责任。</w:t>
      </w:r>
    </w:p>
    <w:p w14:paraId="3EE91CB3">
      <w:pPr>
        <w:numPr>
          <w:ilvl w:val="1"/>
          <w:numId w:val="15"/>
        </w:numPr>
        <w:tabs>
          <w:tab w:val="left" w:pos="1145"/>
        </w:tabs>
        <w:spacing w:line="360" w:lineRule="auto"/>
        <w:ind w:left="9" w:firstLine="211"/>
        <w:jc w:val="left"/>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eastAsia="zh-CN"/>
        </w:rPr>
        <w:t>服务商</w:t>
      </w:r>
      <w:r>
        <w:rPr>
          <w:rFonts w:hint="eastAsia" w:cs="宋体" w:asciiTheme="minorEastAsia" w:hAnsiTheme="minorEastAsia" w:eastAsiaTheme="minorEastAsia"/>
          <w:color w:val="auto"/>
          <w:sz w:val="24"/>
          <w:highlight w:val="none"/>
        </w:rPr>
        <w:t>提交给采购人的实施产出物包括：</w:t>
      </w:r>
    </w:p>
    <w:p w14:paraId="159FE0F1">
      <w:pPr>
        <w:numPr>
          <w:ilvl w:val="0"/>
          <w:numId w:val="16"/>
        </w:numPr>
        <w:tabs>
          <w:tab w:val="left" w:pos="0"/>
          <w:tab w:val="left" w:pos="210"/>
          <w:tab w:val="left" w:pos="567"/>
        </w:tabs>
        <w:spacing w:line="360" w:lineRule="auto"/>
        <w:ind w:left="0"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正常运作于采购人真实环境下的本项目标的修改调整、集成服务及其相关配套、支持。</w:t>
      </w:r>
    </w:p>
    <w:p w14:paraId="1789F7B3">
      <w:pPr>
        <w:numPr>
          <w:ilvl w:val="0"/>
          <w:numId w:val="16"/>
        </w:numPr>
        <w:tabs>
          <w:tab w:val="left" w:pos="0"/>
          <w:tab w:val="left" w:pos="210"/>
          <w:tab w:val="left" w:pos="567"/>
        </w:tabs>
        <w:spacing w:line="360" w:lineRule="auto"/>
        <w:ind w:left="0"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服务商</w:t>
      </w:r>
      <w:r>
        <w:rPr>
          <w:rFonts w:hint="eastAsia" w:asciiTheme="minorEastAsia" w:hAnsiTheme="minorEastAsia" w:eastAsiaTheme="minorEastAsia"/>
          <w:color w:val="auto"/>
          <w:sz w:val="24"/>
          <w:highlight w:val="none"/>
        </w:rPr>
        <w:t>须向采购人提供所有有关本项目执行的技术文件，包括但不限于：系统管理及维护手册、用户操作手册、</w:t>
      </w:r>
      <w:r>
        <w:rPr>
          <w:rFonts w:hint="eastAsia" w:asciiTheme="minorEastAsia" w:hAnsiTheme="minorEastAsia" w:eastAsiaTheme="minorEastAsia"/>
          <w:color w:val="auto"/>
          <w:sz w:val="24"/>
          <w:highlight w:val="none"/>
          <w:lang w:eastAsia="zh-CN"/>
        </w:rPr>
        <w:t>服务商</w:t>
      </w:r>
      <w:r>
        <w:rPr>
          <w:rFonts w:hint="eastAsia" w:asciiTheme="minorEastAsia" w:hAnsiTheme="minorEastAsia" w:eastAsiaTheme="minorEastAsia"/>
          <w:color w:val="auto"/>
          <w:sz w:val="24"/>
          <w:highlight w:val="none"/>
        </w:rPr>
        <w:t>的测试报告、数据结构说明书、系统源代码和程序结构说明。上述技术文件应包含保证采购人能够正确进行操作、检查、维修、维护、测试和调试需要的所有内容。如果项目必需但合同又未作规定的要</w:t>
      </w:r>
      <w:r>
        <w:rPr>
          <w:rFonts w:hint="eastAsia" w:asciiTheme="minorEastAsia" w:hAnsiTheme="minorEastAsia" w:eastAsiaTheme="minorEastAsia"/>
          <w:color w:val="auto"/>
          <w:sz w:val="24"/>
          <w:highlight w:val="none"/>
          <w:lang w:eastAsia="zh-CN"/>
        </w:rPr>
        <w:t>服务商</w:t>
      </w:r>
      <w:r>
        <w:rPr>
          <w:rFonts w:hint="eastAsia" w:asciiTheme="minorEastAsia" w:hAnsiTheme="minorEastAsia" w:eastAsiaTheme="minorEastAsia"/>
          <w:color w:val="auto"/>
          <w:sz w:val="24"/>
          <w:highlight w:val="none"/>
        </w:rPr>
        <w:t>才能提供的技术文件，</w:t>
      </w:r>
      <w:r>
        <w:rPr>
          <w:rFonts w:hint="eastAsia" w:asciiTheme="minorEastAsia" w:hAnsiTheme="minorEastAsia" w:eastAsiaTheme="minorEastAsia"/>
          <w:color w:val="auto"/>
          <w:sz w:val="24"/>
          <w:highlight w:val="none"/>
          <w:lang w:eastAsia="zh-CN"/>
        </w:rPr>
        <w:t>服务商</w:t>
      </w:r>
      <w:r>
        <w:rPr>
          <w:rFonts w:hint="eastAsia" w:asciiTheme="minorEastAsia" w:hAnsiTheme="minorEastAsia" w:eastAsiaTheme="minorEastAsia"/>
          <w:color w:val="auto"/>
          <w:sz w:val="24"/>
          <w:highlight w:val="none"/>
        </w:rPr>
        <w:t>也应及时向采购人提供。</w:t>
      </w:r>
    </w:p>
    <w:p w14:paraId="6DD428F1">
      <w:pPr>
        <w:numPr>
          <w:ilvl w:val="0"/>
          <w:numId w:val="16"/>
        </w:numPr>
        <w:tabs>
          <w:tab w:val="left" w:pos="0"/>
          <w:tab w:val="left" w:pos="210"/>
          <w:tab w:val="left" w:pos="567"/>
        </w:tabs>
        <w:spacing w:line="360" w:lineRule="auto"/>
        <w:ind w:left="0"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服务商</w:t>
      </w:r>
      <w:r>
        <w:rPr>
          <w:rFonts w:hint="eastAsia" w:asciiTheme="minorEastAsia" w:hAnsiTheme="minorEastAsia" w:eastAsiaTheme="minorEastAsia"/>
          <w:color w:val="auto"/>
          <w:sz w:val="24"/>
          <w:highlight w:val="none"/>
        </w:rPr>
        <w:t>提供的文档和资料均应以磁介质(或光盘)和纸张为载体，文件格式为Word文档或PDF文档或其他可视化文件。</w:t>
      </w:r>
    </w:p>
    <w:p w14:paraId="58D91B4A">
      <w:pPr>
        <w:numPr>
          <w:ilvl w:val="0"/>
          <w:numId w:val="16"/>
        </w:numPr>
        <w:tabs>
          <w:tab w:val="left" w:pos="0"/>
          <w:tab w:val="left" w:pos="210"/>
          <w:tab w:val="left" w:pos="567"/>
        </w:tabs>
        <w:spacing w:line="360" w:lineRule="auto"/>
        <w:ind w:left="0"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采购人如发现</w:t>
      </w:r>
      <w:r>
        <w:rPr>
          <w:rFonts w:hint="eastAsia" w:asciiTheme="minorEastAsia" w:hAnsiTheme="minorEastAsia" w:eastAsiaTheme="minorEastAsia"/>
          <w:color w:val="auto"/>
          <w:sz w:val="24"/>
          <w:highlight w:val="none"/>
          <w:lang w:eastAsia="zh-CN"/>
        </w:rPr>
        <w:t>服务商</w:t>
      </w:r>
      <w:r>
        <w:rPr>
          <w:rFonts w:hint="eastAsia" w:asciiTheme="minorEastAsia" w:hAnsiTheme="minorEastAsia" w:eastAsiaTheme="minorEastAsia"/>
          <w:color w:val="auto"/>
          <w:sz w:val="24"/>
          <w:highlight w:val="none"/>
        </w:rPr>
        <w:t>未提供有关文件，可以推迟付款，直至</w:t>
      </w:r>
      <w:r>
        <w:rPr>
          <w:rFonts w:hint="eastAsia" w:asciiTheme="minorEastAsia" w:hAnsiTheme="minorEastAsia" w:eastAsiaTheme="minorEastAsia"/>
          <w:color w:val="auto"/>
          <w:sz w:val="24"/>
          <w:highlight w:val="none"/>
          <w:lang w:eastAsia="zh-CN"/>
        </w:rPr>
        <w:t>服务商</w:t>
      </w:r>
      <w:r>
        <w:rPr>
          <w:rFonts w:hint="eastAsia" w:asciiTheme="minorEastAsia" w:hAnsiTheme="minorEastAsia" w:eastAsiaTheme="minorEastAsia"/>
          <w:color w:val="auto"/>
          <w:sz w:val="24"/>
          <w:highlight w:val="none"/>
        </w:rPr>
        <w:t>补齐有关文件。</w:t>
      </w:r>
    </w:p>
    <w:p w14:paraId="175CFCA5">
      <w:pPr>
        <w:tabs>
          <w:tab w:val="left" w:pos="0"/>
          <w:tab w:val="left" w:pos="210"/>
          <w:tab w:val="left" w:pos="567"/>
        </w:tabs>
        <w:spacing w:line="360" w:lineRule="auto"/>
        <w:rPr>
          <w:rFonts w:hint="eastAsia" w:asciiTheme="minorEastAsia" w:hAnsiTheme="minorEastAsia" w:eastAsiaTheme="minorEastAsia"/>
          <w:color w:val="auto"/>
          <w:sz w:val="24"/>
          <w:highlight w:val="none"/>
        </w:rPr>
      </w:pPr>
    </w:p>
    <w:p w14:paraId="11EB282F">
      <w:pPr>
        <w:pStyle w:val="2"/>
        <w:numPr>
          <w:ilvl w:val="0"/>
          <w:numId w:val="1"/>
        </w:numPr>
        <w:rPr>
          <w:rFonts w:asciiTheme="minorEastAsia" w:hAnsiTheme="minorEastAsia" w:eastAsiaTheme="minorEastAsia"/>
          <w:color w:val="auto"/>
          <w:sz w:val="24"/>
          <w:highlight w:val="none"/>
        </w:rPr>
      </w:pPr>
      <w:r>
        <w:rPr>
          <w:color w:val="auto"/>
          <w:sz w:val="32"/>
          <w:szCs w:val="32"/>
          <w:highlight w:val="none"/>
        </w:rPr>
        <w:t>售后服务、版权、保密等要求</w:t>
      </w:r>
    </w:p>
    <w:p w14:paraId="39CA2342">
      <w:pPr>
        <w:numPr>
          <w:ilvl w:val="1"/>
          <w:numId w:val="17"/>
        </w:numPr>
        <w:tabs>
          <w:tab w:val="left" w:pos="1145"/>
        </w:tabs>
        <w:spacing w:line="360" w:lineRule="auto"/>
        <w:ind w:left="9" w:firstLine="211"/>
        <w:jc w:val="left"/>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修改调整部分的售后服务</w:t>
      </w:r>
    </w:p>
    <w:p w14:paraId="75873A19">
      <w:pPr>
        <w:numPr>
          <w:ilvl w:val="0"/>
          <w:numId w:val="18"/>
        </w:numPr>
        <w:tabs>
          <w:tab w:val="left" w:pos="0"/>
          <w:tab w:val="left" w:pos="210"/>
          <w:tab w:val="left" w:pos="567"/>
        </w:tabs>
        <w:spacing w:line="360" w:lineRule="auto"/>
        <w:ind w:left="0"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服务内容：技术支持和指导，“软件”系统的局部改进完善以及全院性故障等情况下的现场问题解决。</w:t>
      </w:r>
    </w:p>
    <w:p w14:paraId="53C30766">
      <w:pPr>
        <w:numPr>
          <w:ilvl w:val="0"/>
          <w:numId w:val="18"/>
        </w:numPr>
        <w:tabs>
          <w:tab w:val="left" w:pos="0"/>
          <w:tab w:val="left" w:pos="210"/>
          <w:tab w:val="left" w:pos="567"/>
        </w:tabs>
        <w:spacing w:line="360" w:lineRule="auto"/>
        <w:ind w:left="0"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服务方式：电话/邮件指导、远程维护、技术交流、现场服务。</w:t>
      </w:r>
    </w:p>
    <w:p w14:paraId="677EBA56">
      <w:pPr>
        <w:numPr>
          <w:ilvl w:val="0"/>
          <w:numId w:val="18"/>
        </w:numPr>
        <w:tabs>
          <w:tab w:val="left" w:pos="0"/>
          <w:tab w:val="left" w:pos="210"/>
          <w:tab w:val="left" w:pos="567"/>
        </w:tabs>
        <w:spacing w:line="360" w:lineRule="auto"/>
        <w:ind w:left="0"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服务响应时间：工作期间（正常工作日8：00-18：00）软件故障响应时间不超过0.5小时，到达现场时间不超过1小时；非工作期间软件故障响应时间不超过1小时，到达现场时间不超过2小时。</w:t>
      </w:r>
    </w:p>
    <w:p w14:paraId="5E137E9D">
      <w:pPr>
        <w:numPr>
          <w:ilvl w:val="1"/>
          <w:numId w:val="17"/>
        </w:numPr>
        <w:tabs>
          <w:tab w:val="left" w:pos="1145"/>
        </w:tabs>
        <w:spacing w:line="360" w:lineRule="auto"/>
        <w:ind w:left="9" w:firstLine="211"/>
        <w:jc w:val="left"/>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售后服务、版权、保密等要求</w:t>
      </w:r>
    </w:p>
    <w:p w14:paraId="45AA15E5">
      <w:pPr>
        <w:numPr>
          <w:ilvl w:val="0"/>
          <w:numId w:val="19"/>
        </w:numPr>
        <w:tabs>
          <w:tab w:val="left" w:pos="0"/>
          <w:tab w:val="left" w:pos="210"/>
          <w:tab w:val="left" w:pos="567"/>
        </w:tabs>
        <w:spacing w:line="360" w:lineRule="auto"/>
        <w:ind w:left="0"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采购人责任</w:t>
      </w:r>
    </w:p>
    <w:p w14:paraId="4C58B44E">
      <w:pPr>
        <w:spacing w:line="360" w:lineRule="auto"/>
        <w:ind w:firstLine="480" w:firstLineChars="200"/>
        <w:rPr>
          <w:rFonts w:hint="eastAsia"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w:t>
      </w:r>
      <w:r>
        <w:rPr>
          <w:rFonts w:cs="宋体" w:asciiTheme="minorEastAsia" w:hAnsiTheme="minorEastAsia" w:eastAsiaTheme="minorEastAsia"/>
          <w:color w:val="auto"/>
          <w:sz w:val="24"/>
          <w:highlight w:val="none"/>
        </w:rPr>
        <w:t>1</w:t>
      </w:r>
      <w:r>
        <w:rPr>
          <w:rFonts w:hint="eastAsia" w:cs="宋体" w:asciiTheme="minorEastAsia" w:hAnsiTheme="minorEastAsia" w:eastAsiaTheme="minorEastAsia"/>
          <w:color w:val="auto"/>
          <w:sz w:val="24"/>
          <w:highlight w:val="none"/>
        </w:rPr>
        <w:t>）按照约定按时付款，以保证服务的顺利进行和系统使用。</w:t>
      </w:r>
    </w:p>
    <w:p w14:paraId="4D6BB19D">
      <w:pPr>
        <w:spacing w:line="360" w:lineRule="auto"/>
        <w:ind w:firstLine="480" w:firstLineChars="200"/>
        <w:rPr>
          <w:rFonts w:hint="eastAsia"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w:t>
      </w:r>
      <w:r>
        <w:rPr>
          <w:rFonts w:cs="宋体" w:asciiTheme="minorEastAsia" w:hAnsiTheme="minorEastAsia" w:eastAsiaTheme="minorEastAsia"/>
          <w:color w:val="auto"/>
          <w:sz w:val="24"/>
          <w:highlight w:val="none"/>
        </w:rPr>
        <w:t>2</w:t>
      </w:r>
      <w:r>
        <w:rPr>
          <w:rFonts w:hint="eastAsia" w:cs="宋体" w:asciiTheme="minorEastAsia" w:hAnsiTheme="minorEastAsia" w:eastAsiaTheme="minorEastAsia"/>
          <w:color w:val="auto"/>
          <w:sz w:val="24"/>
          <w:highlight w:val="none"/>
        </w:rPr>
        <w:t>）提供培训场地，组织参加培训的人员按时出席，并配合</w:t>
      </w:r>
      <w:r>
        <w:rPr>
          <w:rFonts w:hint="eastAsia" w:cs="宋体" w:asciiTheme="minorEastAsia" w:hAnsiTheme="minorEastAsia" w:eastAsiaTheme="minorEastAsia"/>
          <w:color w:val="auto"/>
          <w:sz w:val="24"/>
          <w:highlight w:val="none"/>
          <w:lang w:eastAsia="zh-CN"/>
        </w:rPr>
        <w:t>服务商</w:t>
      </w:r>
      <w:r>
        <w:rPr>
          <w:rFonts w:hint="eastAsia" w:cs="宋体" w:asciiTheme="minorEastAsia" w:hAnsiTheme="minorEastAsia" w:eastAsiaTheme="minorEastAsia"/>
          <w:color w:val="auto"/>
          <w:sz w:val="24"/>
          <w:highlight w:val="none"/>
        </w:rPr>
        <w:t>对操作人员的考核。</w:t>
      </w:r>
    </w:p>
    <w:p w14:paraId="3B8A9148">
      <w:pPr>
        <w:spacing w:line="360" w:lineRule="auto"/>
        <w:ind w:firstLine="480" w:firstLineChars="200"/>
        <w:rPr>
          <w:rFonts w:hint="eastAsia"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w:t>
      </w:r>
      <w:r>
        <w:rPr>
          <w:rFonts w:cs="宋体" w:asciiTheme="minorEastAsia" w:hAnsiTheme="minorEastAsia" w:eastAsiaTheme="minorEastAsia"/>
          <w:color w:val="auto"/>
          <w:sz w:val="24"/>
          <w:highlight w:val="none"/>
        </w:rPr>
        <w:t>3</w:t>
      </w:r>
      <w:r>
        <w:rPr>
          <w:rFonts w:hint="eastAsia" w:cs="宋体" w:asciiTheme="minorEastAsia" w:hAnsiTheme="minorEastAsia" w:eastAsiaTheme="minorEastAsia"/>
          <w:color w:val="auto"/>
          <w:sz w:val="24"/>
          <w:highlight w:val="none"/>
        </w:rPr>
        <w:t>）负责“软件”系统运行环境的准备，保证提供的硬件系统和网络环境达到“软件”系统运行的基本条件，确保“软件”在每一工作站点有可连接的网络接口，并保证网络连接的稳定性。</w:t>
      </w:r>
    </w:p>
    <w:p w14:paraId="71BC80CA">
      <w:pPr>
        <w:spacing w:line="360" w:lineRule="auto"/>
        <w:ind w:firstLine="480" w:firstLineChars="200"/>
        <w:rPr>
          <w:rFonts w:hint="eastAsia"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w:t>
      </w:r>
      <w:r>
        <w:rPr>
          <w:rFonts w:cs="宋体" w:asciiTheme="minorEastAsia" w:hAnsiTheme="minorEastAsia" w:eastAsiaTheme="minorEastAsia"/>
          <w:color w:val="auto"/>
          <w:sz w:val="24"/>
          <w:highlight w:val="none"/>
        </w:rPr>
        <w:t>4</w:t>
      </w:r>
      <w:r>
        <w:rPr>
          <w:rFonts w:hint="eastAsia" w:cs="宋体" w:asciiTheme="minorEastAsia" w:hAnsiTheme="minorEastAsia" w:eastAsiaTheme="minorEastAsia"/>
          <w:color w:val="auto"/>
          <w:sz w:val="24"/>
          <w:highlight w:val="none"/>
        </w:rPr>
        <w:t>）指派专人负责收集整理“软件”运行所需数据，并保证数据的完整性和正确性。</w:t>
      </w:r>
    </w:p>
    <w:p w14:paraId="430B5E3C">
      <w:pPr>
        <w:spacing w:line="360" w:lineRule="auto"/>
        <w:ind w:firstLine="480" w:firstLineChars="200"/>
        <w:rPr>
          <w:rFonts w:hint="eastAsia"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w:t>
      </w:r>
      <w:r>
        <w:rPr>
          <w:rFonts w:cs="宋体" w:asciiTheme="minorEastAsia" w:hAnsiTheme="minorEastAsia" w:eastAsiaTheme="minorEastAsia"/>
          <w:color w:val="auto"/>
          <w:sz w:val="24"/>
          <w:highlight w:val="none"/>
        </w:rPr>
        <w:t>5</w:t>
      </w:r>
      <w:r>
        <w:rPr>
          <w:rFonts w:hint="eastAsia" w:cs="宋体" w:asciiTheme="minorEastAsia" w:hAnsiTheme="minorEastAsia" w:eastAsiaTheme="minorEastAsia"/>
          <w:color w:val="auto"/>
          <w:sz w:val="24"/>
          <w:highlight w:val="none"/>
        </w:rPr>
        <w:t>）负责提供直线电话或“软件”系统实施所需的基础设施（包括为今后远程服务需要所应配备的联网接入条件）。</w:t>
      </w:r>
    </w:p>
    <w:p w14:paraId="1794E402">
      <w:pPr>
        <w:spacing w:line="360" w:lineRule="auto"/>
        <w:ind w:firstLine="480" w:firstLineChars="200"/>
        <w:rPr>
          <w:rFonts w:hint="eastAsia"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w:t>
      </w:r>
      <w:r>
        <w:rPr>
          <w:rFonts w:cs="宋体" w:asciiTheme="minorEastAsia" w:hAnsiTheme="minorEastAsia" w:eastAsiaTheme="minorEastAsia"/>
          <w:color w:val="auto"/>
          <w:sz w:val="24"/>
          <w:highlight w:val="none"/>
        </w:rPr>
        <w:t>6</w:t>
      </w:r>
      <w:r>
        <w:rPr>
          <w:rFonts w:hint="eastAsia" w:cs="宋体" w:asciiTheme="minorEastAsia" w:hAnsiTheme="minorEastAsia" w:eastAsiaTheme="minorEastAsia"/>
          <w:color w:val="auto"/>
          <w:sz w:val="24"/>
          <w:highlight w:val="none"/>
        </w:rPr>
        <w:t>）负责帮助协调信息系统维护服务与第三方相关软件连接（如</w:t>
      </w:r>
      <w:r>
        <w:rPr>
          <w:rFonts w:cs="宋体" w:asciiTheme="minorEastAsia" w:hAnsiTheme="minorEastAsia" w:eastAsiaTheme="minorEastAsia"/>
          <w:color w:val="auto"/>
          <w:sz w:val="24"/>
          <w:highlight w:val="none"/>
        </w:rPr>
        <w:t>HIS</w:t>
      </w:r>
      <w:r>
        <w:rPr>
          <w:rFonts w:hint="eastAsia" w:cs="宋体" w:asciiTheme="minorEastAsia" w:hAnsiTheme="minorEastAsia" w:eastAsiaTheme="minorEastAsia"/>
          <w:color w:val="auto"/>
          <w:sz w:val="24"/>
          <w:highlight w:val="none"/>
        </w:rPr>
        <w:t>、</w:t>
      </w:r>
      <w:r>
        <w:rPr>
          <w:rFonts w:cs="宋体" w:asciiTheme="minorEastAsia" w:hAnsiTheme="minorEastAsia" w:eastAsiaTheme="minorEastAsia"/>
          <w:color w:val="auto"/>
          <w:sz w:val="24"/>
          <w:highlight w:val="none"/>
        </w:rPr>
        <w:t>PACS</w:t>
      </w:r>
      <w:r>
        <w:rPr>
          <w:rFonts w:hint="eastAsia" w:cs="宋体" w:asciiTheme="minorEastAsia" w:hAnsiTheme="minorEastAsia" w:eastAsiaTheme="minorEastAsia"/>
          <w:color w:val="auto"/>
          <w:sz w:val="24"/>
          <w:highlight w:val="none"/>
        </w:rPr>
        <w:t>、</w:t>
      </w:r>
      <w:r>
        <w:rPr>
          <w:rFonts w:cs="宋体" w:asciiTheme="minorEastAsia" w:hAnsiTheme="minorEastAsia" w:eastAsiaTheme="minorEastAsia"/>
          <w:color w:val="auto"/>
          <w:sz w:val="24"/>
          <w:highlight w:val="none"/>
        </w:rPr>
        <w:t>LIS</w:t>
      </w:r>
      <w:r>
        <w:rPr>
          <w:rFonts w:hint="eastAsia" w:cs="宋体" w:asciiTheme="minorEastAsia" w:hAnsiTheme="minorEastAsia" w:eastAsiaTheme="minorEastAsia"/>
          <w:color w:val="auto"/>
          <w:sz w:val="24"/>
          <w:highlight w:val="none"/>
        </w:rPr>
        <w:t>等）的接口工作，提供</w:t>
      </w:r>
      <w:r>
        <w:rPr>
          <w:rFonts w:hint="eastAsia" w:cs="宋体" w:asciiTheme="minorEastAsia" w:hAnsiTheme="minorEastAsia" w:eastAsiaTheme="minorEastAsia"/>
          <w:color w:val="auto"/>
          <w:sz w:val="24"/>
          <w:highlight w:val="none"/>
          <w:lang w:eastAsia="zh-CN"/>
        </w:rPr>
        <w:t>服务商</w:t>
      </w:r>
      <w:r>
        <w:rPr>
          <w:rFonts w:hint="eastAsia" w:cs="宋体" w:asciiTheme="minorEastAsia" w:hAnsiTheme="minorEastAsia" w:eastAsiaTheme="minorEastAsia"/>
          <w:color w:val="auto"/>
          <w:sz w:val="24"/>
          <w:highlight w:val="none"/>
        </w:rPr>
        <w:t>要求的第三方软件标准的数据接口。</w:t>
      </w:r>
    </w:p>
    <w:p w14:paraId="26FE34CA">
      <w:pPr>
        <w:spacing w:line="360" w:lineRule="auto"/>
        <w:ind w:firstLine="480" w:firstLineChars="200"/>
        <w:rPr>
          <w:rFonts w:hint="eastAsia"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w:t>
      </w:r>
      <w:r>
        <w:rPr>
          <w:rFonts w:cs="宋体" w:asciiTheme="minorEastAsia" w:hAnsiTheme="minorEastAsia" w:eastAsiaTheme="minorEastAsia"/>
          <w:color w:val="auto"/>
          <w:sz w:val="24"/>
          <w:highlight w:val="none"/>
        </w:rPr>
        <w:t>7</w:t>
      </w:r>
      <w:r>
        <w:rPr>
          <w:rFonts w:hint="eastAsia" w:cs="宋体" w:asciiTheme="minorEastAsia" w:hAnsiTheme="minorEastAsia" w:eastAsiaTheme="minorEastAsia"/>
          <w:color w:val="auto"/>
          <w:sz w:val="24"/>
          <w:highlight w:val="none"/>
        </w:rPr>
        <w:t>）对于采购人自行修改软件导致的损失及责任由采购人承担。</w:t>
      </w:r>
    </w:p>
    <w:p w14:paraId="158CBAB1">
      <w:pPr>
        <w:spacing w:line="360" w:lineRule="auto"/>
        <w:ind w:firstLine="480" w:firstLineChars="200"/>
        <w:rPr>
          <w:rFonts w:hint="eastAsia"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w:t>
      </w:r>
      <w:r>
        <w:rPr>
          <w:rFonts w:cs="宋体" w:asciiTheme="minorEastAsia" w:hAnsiTheme="minorEastAsia" w:eastAsiaTheme="minorEastAsia"/>
          <w:color w:val="auto"/>
          <w:sz w:val="24"/>
          <w:highlight w:val="none"/>
        </w:rPr>
        <w:t>8</w:t>
      </w:r>
      <w:r>
        <w:rPr>
          <w:rFonts w:hint="eastAsia" w:cs="宋体" w:asciiTheme="minorEastAsia" w:hAnsiTheme="minorEastAsia" w:eastAsiaTheme="minorEastAsia"/>
          <w:color w:val="auto"/>
          <w:sz w:val="24"/>
          <w:highlight w:val="none"/>
        </w:rPr>
        <w:t>）为不影响采购人正常业务，</w:t>
      </w:r>
      <w:r>
        <w:rPr>
          <w:rFonts w:hint="eastAsia" w:cs="宋体" w:asciiTheme="minorEastAsia" w:hAnsiTheme="minorEastAsia" w:eastAsiaTheme="minorEastAsia"/>
          <w:color w:val="auto"/>
          <w:sz w:val="24"/>
          <w:highlight w:val="none"/>
          <w:lang w:eastAsia="zh-CN"/>
        </w:rPr>
        <w:t>服务商</w:t>
      </w:r>
      <w:r>
        <w:rPr>
          <w:rFonts w:hint="eastAsia" w:cs="宋体" w:asciiTheme="minorEastAsia" w:hAnsiTheme="minorEastAsia" w:eastAsiaTheme="minorEastAsia"/>
          <w:color w:val="auto"/>
          <w:sz w:val="24"/>
          <w:highlight w:val="none"/>
        </w:rPr>
        <w:t>可能需要利用休息时间或者节假日，采购人应积极配合并协调好各部门的关系。</w:t>
      </w:r>
    </w:p>
    <w:p w14:paraId="31B33F14">
      <w:pPr>
        <w:numPr>
          <w:ilvl w:val="0"/>
          <w:numId w:val="19"/>
        </w:numPr>
        <w:tabs>
          <w:tab w:val="left" w:pos="0"/>
          <w:tab w:val="left" w:pos="210"/>
          <w:tab w:val="left" w:pos="567"/>
        </w:tabs>
        <w:spacing w:line="360" w:lineRule="auto"/>
        <w:ind w:left="0"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服务商</w:t>
      </w:r>
      <w:r>
        <w:rPr>
          <w:rFonts w:hint="eastAsia" w:asciiTheme="minorEastAsia" w:hAnsiTheme="minorEastAsia" w:eastAsiaTheme="minorEastAsia"/>
          <w:color w:val="auto"/>
          <w:sz w:val="24"/>
          <w:highlight w:val="none"/>
        </w:rPr>
        <w:t>责任</w:t>
      </w:r>
    </w:p>
    <w:p w14:paraId="3DC16AD8">
      <w:pPr>
        <w:spacing w:line="360" w:lineRule="auto"/>
        <w:ind w:firstLine="480" w:firstLineChars="200"/>
        <w:rPr>
          <w:rFonts w:hint="eastAsia"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w:t>
      </w:r>
      <w:r>
        <w:rPr>
          <w:rFonts w:cs="宋体" w:asciiTheme="minorEastAsia" w:hAnsiTheme="minorEastAsia" w:eastAsiaTheme="minorEastAsia"/>
          <w:color w:val="auto"/>
          <w:sz w:val="24"/>
          <w:highlight w:val="none"/>
        </w:rPr>
        <w:t>1</w:t>
      </w:r>
      <w:r>
        <w:rPr>
          <w:rFonts w:hint="eastAsia" w:cs="宋体" w:asciiTheme="minorEastAsia" w:hAnsiTheme="minorEastAsia" w:eastAsiaTheme="minorEastAsia"/>
          <w:color w:val="auto"/>
          <w:sz w:val="24"/>
          <w:highlight w:val="none"/>
        </w:rPr>
        <w:t>）提供“软件”及按用户需求书中的文档要求提供软件相关文档。</w:t>
      </w:r>
    </w:p>
    <w:p w14:paraId="5DAFAD36">
      <w:pPr>
        <w:spacing w:line="360" w:lineRule="auto"/>
        <w:ind w:firstLine="480" w:firstLineChars="200"/>
        <w:rPr>
          <w:rFonts w:hint="eastAsia"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w:t>
      </w:r>
      <w:r>
        <w:rPr>
          <w:rFonts w:cs="宋体" w:asciiTheme="minorEastAsia" w:hAnsiTheme="minorEastAsia" w:eastAsiaTheme="minorEastAsia"/>
          <w:color w:val="auto"/>
          <w:sz w:val="24"/>
          <w:highlight w:val="none"/>
        </w:rPr>
        <w:t>2</w:t>
      </w:r>
      <w:r>
        <w:rPr>
          <w:rFonts w:hint="eastAsia" w:cs="宋体" w:asciiTheme="minorEastAsia" w:hAnsiTheme="minorEastAsia" w:eastAsiaTheme="minorEastAsia"/>
          <w:color w:val="auto"/>
          <w:sz w:val="24"/>
          <w:highlight w:val="none"/>
        </w:rPr>
        <w:t>）保证“软件”功能与</w:t>
      </w:r>
      <w:r>
        <w:rPr>
          <w:rFonts w:hint="eastAsia" w:cs="宋体" w:asciiTheme="minorEastAsia" w:hAnsiTheme="minorEastAsia" w:eastAsiaTheme="minorEastAsia"/>
          <w:color w:val="auto"/>
          <w:sz w:val="24"/>
          <w:highlight w:val="none"/>
          <w:lang w:eastAsia="zh-CN"/>
        </w:rPr>
        <w:t>服务商</w:t>
      </w:r>
      <w:r>
        <w:rPr>
          <w:rFonts w:hint="eastAsia" w:cs="宋体" w:asciiTheme="minorEastAsia" w:hAnsiTheme="minorEastAsia" w:eastAsiaTheme="minorEastAsia"/>
          <w:color w:val="auto"/>
          <w:sz w:val="24"/>
          <w:highlight w:val="none"/>
        </w:rPr>
        <w:t>提供给采购人的方案和演示系统中的“软件”功能描述一致。</w:t>
      </w:r>
    </w:p>
    <w:p w14:paraId="2114B06A">
      <w:pPr>
        <w:spacing w:line="360" w:lineRule="auto"/>
        <w:ind w:firstLine="480" w:firstLineChars="200"/>
        <w:rPr>
          <w:rFonts w:hint="eastAsia"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w:t>
      </w:r>
      <w:r>
        <w:rPr>
          <w:rFonts w:cs="宋体" w:asciiTheme="minorEastAsia" w:hAnsiTheme="minorEastAsia" w:eastAsiaTheme="minorEastAsia"/>
          <w:color w:val="auto"/>
          <w:sz w:val="24"/>
          <w:highlight w:val="none"/>
        </w:rPr>
        <w:t>3</w:t>
      </w:r>
      <w:r>
        <w:rPr>
          <w:rFonts w:hint="eastAsia" w:cs="宋体" w:asciiTheme="minorEastAsia" w:hAnsiTheme="minorEastAsia" w:eastAsiaTheme="minorEastAsia"/>
          <w:color w:val="auto"/>
          <w:sz w:val="24"/>
          <w:highlight w:val="none"/>
        </w:rPr>
        <w:t>）</w:t>
      </w:r>
      <w:r>
        <w:rPr>
          <w:rFonts w:hint="eastAsia" w:cs="宋体" w:asciiTheme="minorEastAsia" w:hAnsiTheme="minorEastAsia" w:eastAsiaTheme="minorEastAsia"/>
          <w:color w:val="auto"/>
          <w:sz w:val="24"/>
          <w:highlight w:val="none"/>
          <w:lang w:eastAsia="zh-CN"/>
        </w:rPr>
        <w:t>服务商</w:t>
      </w:r>
      <w:r>
        <w:rPr>
          <w:rFonts w:hint="eastAsia" w:cs="宋体" w:asciiTheme="minorEastAsia" w:hAnsiTheme="minorEastAsia" w:eastAsiaTheme="minorEastAsia"/>
          <w:color w:val="auto"/>
          <w:sz w:val="24"/>
          <w:highlight w:val="none"/>
        </w:rPr>
        <w:t>应保护采购人在使用该系统时不受第三方提出侵权指控。</w:t>
      </w:r>
    </w:p>
    <w:p w14:paraId="11AA751D">
      <w:pPr>
        <w:spacing w:line="360" w:lineRule="auto"/>
        <w:ind w:firstLine="480" w:firstLineChars="200"/>
        <w:rPr>
          <w:rFonts w:hint="eastAsia"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w:t>
      </w:r>
      <w:r>
        <w:rPr>
          <w:rFonts w:cs="宋体" w:asciiTheme="minorEastAsia" w:hAnsiTheme="minorEastAsia" w:eastAsiaTheme="minorEastAsia"/>
          <w:color w:val="auto"/>
          <w:sz w:val="24"/>
          <w:highlight w:val="none"/>
        </w:rPr>
        <w:t>4</w:t>
      </w:r>
      <w:r>
        <w:rPr>
          <w:rFonts w:hint="eastAsia" w:cs="宋体" w:asciiTheme="minorEastAsia" w:hAnsiTheme="minorEastAsia" w:eastAsiaTheme="minorEastAsia"/>
          <w:color w:val="auto"/>
          <w:sz w:val="24"/>
          <w:highlight w:val="none"/>
        </w:rPr>
        <w:t>）保证整体信息系统维护服务运行安全、稳定、高效和数据完整准确。</w:t>
      </w:r>
    </w:p>
    <w:p w14:paraId="3A8950D5">
      <w:pPr>
        <w:spacing w:line="360" w:lineRule="auto"/>
        <w:ind w:firstLine="480" w:firstLineChars="200"/>
        <w:rPr>
          <w:rFonts w:hint="eastAsia"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w:t>
      </w:r>
      <w:r>
        <w:rPr>
          <w:rFonts w:cs="宋体" w:asciiTheme="minorEastAsia" w:hAnsiTheme="minorEastAsia" w:eastAsiaTheme="minorEastAsia"/>
          <w:color w:val="auto"/>
          <w:sz w:val="24"/>
          <w:highlight w:val="none"/>
        </w:rPr>
        <w:t>5</w:t>
      </w:r>
      <w:r>
        <w:rPr>
          <w:rFonts w:hint="eastAsia" w:cs="宋体" w:asciiTheme="minorEastAsia" w:hAnsiTheme="minorEastAsia" w:eastAsiaTheme="minorEastAsia"/>
          <w:color w:val="auto"/>
          <w:sz w:val="24"/>
          <w:highlight w:val="none"/>
        </w:rPr>
        <w:t>）负责采购人“软件”系统维护人员及信息系统维护服务软件骨干操作人员的培训。</w:t>
      </w:r>
    </w:p>
    <w:p w14:paraId="3070F097">
      <w:pPr>
        <w:spacing w:line="360" w:lineRule="auto"/>
        <w:ind w:firstLine="480" w:firstLineChars="200"/>
        <w:rPr>
          <w:rFonts w:hint="eastAsia"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w:t>
      </w:r>
      <w:r>
        <w:rPr>
          <w:rFonts w:cs="宋体" w:asciiTheme="minorEastAsia" w:hAnsiTheme="minorEastAsia" w:eastAsiaTheme="minorEastAsia"/>
          <w:color w:val="auto"/>
          <w:sz w:val="24"/>
          <w:highlight w:val="none"/>
        </w:rPr>
        <w:t>6</w:t>
      </w:r>
      <w:r>
        <w:rPr>
          <w:rFonts w:hint="eastAsia" w:cs="宋体" w:asciiTheme="minorEastAsia" w:hAnsiTheme="minorEastAsia" w:eastAsiaTheme="minorEastAsia"/>
          <w:color w:val="auto"/>
          <w:sz w:val="24"/>
          <w:highlight w:val="none"/>
        </w:rPr>
        <w:t>）负责“软件”系统的安装、调试工作。</w:t>
      </w:r>
    </w:p>
    <w:p w14:paraId="6B6D7793">
      <w:pPr>
        <w:spacing w:line="360" w:lineRule="auto"/>
        <w:ind w:firstLine="480" w:firstLineChars="200"/>
        <w:rPr>
          <w:rFonts w:hint="eastAsia"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w:t>
      </w:r>
      <w:r>
        <w:rPr>
          <w:rFonts w:cs="宋体" w:asciiTheme="minorEastAsia" w:hAnsiTheme="minorEastAsia" w:eastAsiaTheme="minorEastAsia"/>
          <w:color w:val="auto"/>
          <w:sz w:val="24"/>
          <w:highlight w:val="none"/>
        </w:rPr>
        <w:t>7</w:t>
      </w:r>
      <w:r>
        <w:rPr>
          <w:rFonts w:hint="eastAsia" w:cs="宋体" w:asciiTheme="minorEastAsia" w:hAnsiTheme="minorEastAsia" w:eastAsiaTheme="minorEastAsia"/>
          <w:color w:val="auto"/>
          <w:sz w:val="24"/>
          <w:highlight w:val="none"/>
        </w:rPr>
        <w:t>）负责“软件”系统与采购人其它信息管理系统的接口，并保证在收到采购人相关接口需求后于</w:t>
      </w:r>
      <w:r>
        <w:rPr>
          <w:rFonts w:cs="宋体" w:asciiTheme="minorEastAsia" w:hAnsiTheme="minorEastAsia" w:eastAsiaTheme="minorEastAsia"/>
          <w:color w:val="auto"/>
          <w:sz w:val="24"/>
          <w:highlight w:val="none"/>
        </w:rPr>
        <w:t>20</w:t>
      </w:r>
      <w:r>
        <w:rPr>
          <w:rFonts w:hint="eastAsia" w:cs="宋体" w:asciiTheme="minorEastAsia" w:hAnsiTheme="minorEastAsia" w:eastAsiaTheme="minorEastAsia"/>
          <w:color w:val="auto"/>
          <w:sz w:val="24"/>
          <w:highlight w:val="none"/>
        </w:rPr>
        <w:t>个工作日内完成相应接口工作。</w:t>
      </w:r>
    </w:p>
    <w:p w14:paraId="51D43A78">
      <w:pPr>
        <w:spacing w:line="360" w:lineRule="auto"/>
        <w:ind w:firstLine="480" w:firstLineChars="200"/>
        <w:rPr>
          <w:rFonts w:hint="eastAsia"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w:t>
      </w:r>
      <w:r>
        <w:rPr>
          <w:rFonts w:cs="宋体" w:asciiTheme="minorEastAsia" w:hAnsiTheme="minorEastAsia" w:eastAsiaTheme="minorEastAsia"/>
          <w:color w:val="auto"/>
          <w:sz w:val="24"/>
          <w:highlight w:val="none"/>
        </w:rPr>
        <w:t>8</w:t>
      </w:r>
      <w:r>
        <w:rPr>
          <w:rFonts w:hint="eastAsia" w:cs="宋体" w:asciiTheme="minorEastAsia" w:hAnsiTheme="minorEastAsia" w:eastAsiaTheme="minorEastAsia"/>
          <w:color w:val="auto"/>
          <w:sz w:val="24"/>
          <w:highlight w:val="none"/>
        </w:rPr>
        <w:t>）负责“软件”的客户化修改工作，按照《软件系统客户化需求说明书》规定的内容和工期，完成“软件”范围内的客户化修改，并按用户需求书中的文档要求提供软件相关文档（电子版）。</w:t>
      </w:r>
    </w:p>
    <w:p w14:paraId="6E7E575F">
      <w:pPr>
        <w:spacing w:line="360" w:lineRule="auto"/>
        <w:ind w:firstLine="480" w:firstLineChars="200"/>
        <w:rPr>
          <w:rFonts w:hint="eastAsia"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w:t>
      </w:r>
      <w:r>
        <w:rPr>
          <w:rFonts w:cs="宋体" w:asciiTheme="minorEastAsia" w:hAnsiTheme="minorEastAsia" w:eastAsiaTheme="minorEastAsia"/>
          <w:color w:val="auto"/>
          <w:sz w:val="24"/>
          <w:highlight w:val="none"/>
        </w:rPr>
        <w:t>9</w:t>
      </w:r>
      <w:r>
        <w:rPr>
          <w:rFonts w:hint="eastAsia" w:cs="宋体" w:asciiTheme="minorEastAsia" w:hAnsiTheme="minorEastAsia" w:eastAsiaTheme="minorEastAsia"/>
          <w:color w:val="auto"/>
          <w:sz w:val="24"/>
          <w:highlight w:val="none"/>
        </w:rPr>
        <w:t>）</w:t>
      </w:r>
      <w:r>
        <w:rPr>
          <w:rFonts w:hint="eastAsia" w:cs="宋体" w:asciiTheme="minorEastAsia" w:hAnsiTheme="minorEastAsia" w:eastAsiaTheme="minorEastAsia"/>
          <w:color w:val="auto"/>
          <w:sz w:val="24"/>
          <w:highlight w:val="none"/>
          <w:lang w:eastAsia="zh-CN"/>
        </w:rPr>
        <w:t>服务商</w:t>
      </w:r>
      <w:r>
        <w:rPr>
          <w:rFonts w:hint="eastAsia" w:cs="宋体" w:asciiTheme="minorEastAsia" w:hAnsiTheme="minorEastAsia" w:eastAsiaTheme="minorEastAsia"/>
          <w:color w:val="auto"/>
          <w:sz w:val="24"/>
          <w:highlight w:val="none"/>
        </w:rPr>
        <w:t>承诺对影响“软件”系统正常运转的故障响应时间小于</w:t>
      </w:r>
      <w:r>
        <w:rPr>
          <w:rFonts w:cs="宋体" w:asciiTheme="minorEastAsia" w:hAnsiTheme="minorEastAsia" w:eastAsiaTheme="minorEastAsia"/>
          <w:color w:val="auto"/>
          <w:sz w:val="24"/>
          <w:highlight w:val="none"/>
        </w:rPr>
        <w:t>1</w:t>
      </w:r>
      <w:r>
        <w:rPr>
          <w:rFonts w:hint="eastAsia" w:cs="宋体" w:asciiTheme="minorEastAsia" w:hAnsiTheme="minorEastAsia" w:eastAsiaTheme="minorEastAsia"/>
          <w:color w:val="auto"/>
          <w:sz w:val="24"/>
          <w:highlight w:val="none"/>
        </w:rPr>
        <w:t>小时。</w:t>
      </w:r>
    </w:p>
    <w:p w14:paraId="7A8158FC">
      <w:pPr>
        <w:spacing w:line="360" w:lineRule="auto"/>
        <w:ind w:firstLine="480" w:firstLineChars="200"/>
        <w:rPr>
          <w:rFonts w:hint="eastAsia"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w:t>
      </w:r>
      <w:r>
        <w:rPr>
          <w:rFonts w:cs="宋体" w:asciiTheme="minorEastAsia" w:hAnsiTheme="minorEastAsia" w:eastAsiaTheme="minorEastAsia"/>
          <w:color w:val="auto"/>
          <w:sz w:val="24"/>
          <w:highlight w:val="none"/>
        </w:rPr>
        <w:t>10</w:t>
      </w:r>
      <w:r>
        <w:rPr>
          <w:rFonts w:hint="eastAsia" w:cs="宋体" w:asciiTheme="minorEastAsia" w:hAnsiTheme="minorEastAsia" w:eastAsiaTheme="minorEastAsia"/>
          <w:color w:val="auto"/>
          <w:sz w:val="24"/>
          <w:highlight w:val="none"/>
        </w:rPr>
        <w:t>）</w:t>
      </w:r>
      <w:r>
        <w:rPr>
          <w:rFonts w:hint="eastAsia" w:cs="宋体" w:asciiTheme="minorEastAsia" w:hAnsiTheme="minorEastAsia" w:eastAsiaTheme="minorEastAsia"/>
          <w:color w:val="auto"/>
          <w:sz w:val="24"/>
          <w:highlight w:val="none"/>
          <w:lang w:eastAsia="zh-CN"/>
        </w:rPr>
        <w:t>服务商</w:t>
      </w:r>
      <w:r>
        <w:rPr>
          <w:rFonts w:hint="eastAsia" w:cs="宋体" w:asciiTheme="minorEastAsia" w:hAnsiTheme="minorEastAsia" w:eastAsiaTheme="minorEastAsia"/>
          <w:color w:val="auto"/>
          <w:sz w:val="24"/>
          <w:highlight w:val="none"/>
        </w:rPr>
        <w:t>向采购人提供“软件”系统，并根据采购人业务需要进行适当的修改和定制，同时负责该信息系统的升级工作。</w:t>
      </w:r>
    </w:p>
    <w:p w14:paraId="49FA27E3">
      <w:pP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w:t>
      </w:r>
      <w:r>
        <w:rPr>
          <w:rFonts w:cs="宋体" w:asciiTheme="minorEastAsia" w:hAnsiTheme="minorEastAsia" w:eastAsiaTheme="minorEastAsia"/>
          <w:color w:val="auto"/>
          <w:sz w:val="24"/>
          <w:highlight w:val="none"/>
        </w:rPr>
        <w:t>11</w:t>
      </w:r>
      <w:r>
        <w:rPr>
          <w:rFonts w:hint="eastAsia" w:cs="宋体" w:asciiTheme="minorEastAsia" w:hAnsiTheme="minorEastAsia" w:eastAsiaTheme="minorEastAsia"/>
          <w:color w:val="auto"/>
          <w:sz w:val="24"/>
          <w:highlight w:val="none"/>
        </w:rPr>
        <w:t>）</w:t>
      </w:r>
      <w:r>
        <w:rPr>
          <w:rFonts w:hint="eastAsia" w:cs="宋体" w:asciiTheme="minorEastAsia" w:hAnsiTheme="minorEastAsia" w:eastAsiaTheme="minorEastAsia"/>
          <w:color w:val="auto"/>
          <w:sz w:val="24"/>
          <w:highlight w:val="none"/>
          <w:lang w:eastAsia="zh-CN"/>
        </w:rPr>
        <w:t>服务商</w:t>
      </w:r>
      <w:r>
        <w:rPr>
          <w:rFonts w:hint="eastAsia" w:cs="宋体" w:asciiTheme="minorEastAsia" w:hAnsiTheme="minorEastAsia" w:eastAsiaTheme="minorEastAsia"/>
          <w:color w:val="auto"/>
          <w:sz w:val="24"/>
          <w:highlight w:val="none"/>
        </w:rPr>
        <w:t>应保证开发修改工作的质量，</w:t>
      </w:r>
      <w:r>
        <w:rPr>
          <w:rFonts w:hint="eastAsia" w:cs="宋体" w:asciiTheme="minorEastAsia" w:hAnsiTheme="minorEastAsia" w:eastAsiaTheme="minorEastAsia"/>
          <w:color w:val="auto"/>
          <w:sz w:val="24"/>
          <w:highlight w:val="none"/>
          <w:lang w:eastAsia="zh-CN"/>
        </w:rPr>
        <w:t>服务商</w:t>
      </w:r>
      <w:r>
        <w:rPr>
          <w:rFonts w:hint="eastAsia" w:cs="宋体" w:asciiTheme="minorEastAsia" w:hAnsiTheme="minorEastAsia" w:eastAsiaTheme="minorEastAsia"/>
          <w:color w:val="auto"/>
          <w:sz w:val="24"/>
          <w:highlight w:val="none"/>
        </w:rPr>
        <w:t>根据采购人需求开发修改的功能，应保证能够在不经采购人测试的情况下在采购人的业务环境中正常运行。</w:t>
      </w:r>
    </w:p>
    <w:p w14:paraId="711650E2">
      <w:pP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w:t>
      </w:r>
      <w:r>
        <w:rPr>
          <w:rFonts w:cs="宋体" w:asciiTheme="minorEastAsia" w:hAnsiTheme="minorEastAsia" w:eastAsiaTheme="minorEastAsia"/>
          <w:color w:val="auto"/>
          <w:sz w:val="24"/>
          <w:highlight w:val="none"/>
        </w:rPr>
        <w:t>1</w:t>
      </w:r>
      <w:r>
        <w:rPr>
          <w:rFonts w:hint="eastAsia" w:cs="宋体" w:asciiTheme="minorEastAsia" w:hAnsiTheme="minorEastAsia" w:eastAsiaTheme="minorEastAsia"/>
          <w:color w:val="auto"/>
          <w:sz w:val="24"/>
          <w:highlight w:val="none"/>
        </w:rPr>
        <w:t>2）</w:t>
      </w:r>
      <w:r>
        <w:rPr>
          <w:rFonts w:hint="eastAsia" w:cs="宋体" w:asciiTheme="minorEastAsia" w:hAnsiTheme="minorEastAsia" w:eastAsiaTheme="minorEastAsia"/>
          <w:color w:val="auto"/>
          <w:sz w:val="24"/>
          <w:highlight w:val="none"/>
          <w:lang w:eastAsia="zh-CN"/>
        </w:rPr>
        <w:t>服务商</w:t>
      </w:r>
      <w:r>
        <w:rPr>
          <w:rFonts w:hint="eastAsia" w:cs="宋体" w:asciiTheme="minorEastAsia" w:hAnsiTheme="minorEastAsia" w:eastAsiaTheme="minorEastAsia"/>
          <w:color w:val="auto"/>
          <w:sz w:val="24"/>
          <w:highlight w:val="none"/>
        </w:rPr>
        <w:t>应当结合本项目的项目特点拟定完善的、针对性的售后服务管理制度，并确保服务过程中，严格执行售后服务管理制度。</w:t>
      </w:r>
    </w:p>
    <w:p w14:paraId="58BD635F">
      <w:pPr>
        <w:numPr>
          <w:ilvl w:val="0"/>
          <w:numId w:val="19"/>
        </w:numPr>
        <w:tabs>
          <w:tab w:val="left" w:pos="0"/>
          <w:tab w:val="left" w:pos="210"/>
          <w:tab w:val="left" w:pos="567"/>
        </w:tabs>
        <w:spacing w:line="360" w:lineRule="auto"/>
        <w:ind w:left="0"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版权</w:t>
      </w:r>
    </w:p>
    <w:p w14:paraId="6F6BDF96">
      <w:pPr>
        <w:spacing w:line="360" w:lineRule="auto"/>
        <w:ind w:firstLine="480" w:firstLineChars="200"/>
        <w:rPr>
          <w:rFonts w:hint="eastAsia"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w:t>
      </w:r>
      <w:r>
        <w:rPr>
          <w:rFonts w:cs="宋体" w:asciiTheme="minorEastAsia" w:hAnsiTheme="minorEastAsia" w:eastAsiaTheme="minorEastAsia"/>
          <w:color w:val="auto"/>
          <w:sz w:val="24"/>
          <w:highlight w:val="none"/>
        </w:rPr>
        <w:t>1</w:t>
      </w:r>
      <w:r>
        <w:rPr>
          <w:rFonts w:hint="eastAsia" w:cs="宋体" w:asciiTheme="minorEastAsia" w:hAnsiTheme="minorEastAsia" w:eastAsiaTheme="minorEastAsia"/>
          <w:color w:val="auto"/>
          <w:sz w:val="24"/>
          <w:highlight w:val="none"/>
        </w:rPr>
        <w:t>）根据采购人需求由</w:t>
      </w:r>
      <w:r>
        <w:rPr>
          <w:rFonts w:hint="eastAsia" w:cs="宋体" w:asciiTheme="minorEastAsia" w:hAnsiTheme="minorEastAsia" w:eastAsiaTheme="minorEastAsia"/>
          <w:color w:val="auto"/>
          <w:sz w:val="24"/>
          <w:highlight w:val="none"/>
          <w:lang w:eastAsia="zh-CN"/>
        </w:rPr>
        <w:t>服务商</w:t>
      </w:r>
      <w:r>
        <w:rPr>
          <w:rFonts w:hint="eastAsia" w:cs="宋体" w:asciiTheme="minorEastAsia" w:hAnsiTheme="minorEastAsia" w:eastAsiaTheme="minorEastAsia"/>
          <w:color w:val="auto"/>
          <w:sz w:val="24"/>
          <w:highlight w:val="none"/>
        </w:rPr>
        <w:t>开发功能部分之软件版权归双方共有。</w:t>
      </w:r>
    </w:p>
    <w:p w14:paraId="5DDFFC45">
      <w:pPr>
        <w:spacing w:line="360" w:lineRule="auto"/>
        <w:ind w:firstLine="480" w:firstLineChars="200"/>
        <w:rPr>
          <w:rFonts w:hint="eastAsia"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w:t>
      </w:r>
      <w:r>
        <w:rPr>
          <w:rFonts w:cs="宋体" w:asciiTheme="minorEastAsia" w:hAnsiTheme="minorEastAsia" w:eastAsiaTheme="minorEastAsia"/>
          <w:color w:val="auto"/>
          <w:sz w:val="24"/>
          <w:highlight w:val="none"/>
        </w:rPr>
        <w:t>2</w:t>
      </w:r>
      <w:r>
        <w:rPr>
          <w:rFonts w:hint="eastAsia" w:cs="宋体" w:asciiTheme="minorEastAsia" w:hAnsiTheme="minorEastAsia" w:eastAsiaTheme="minorEastAsia"/>
          <w:color w:val="auto"/>
          <w:sz w:val="24"/>
          <w:highlight w:val="none"/>
        </w:rPr>
        <w:t>）采购人应尊重从</w:t>
      </w:r>
      <w:r>
        <w:rPr>
          <w:rFonts w:hint="eastAsia" w:cs="宋体" w:asciiTheme="minorEastAsia" w:hAnsiTheme="minorEastAsia" w:eastAsiaTheme="minorEastAsia"/>
          <w:color w:val="auto"/>
          <w:sz w:val="24"/>
          <w:highlight w:val="none"/>
          <w:lang w:eastAsia="zh-CN"/>
        </w:rPr>
        <w:t>服务商</w:t>
      </w:r>
      <w:r>
        <w:rPr>
          <w:rFonts w:hint="eastAsia" w:cs="宋体" w:asciiTheme="minorEastAsia" w:hAnsiTheme="minorEastAsia" w:eastAsiaTheme="minorEastAsia"/>
          <w:color w:val="auto"/>
          <w:sz w:val="24"/>
          <w:highlight w:val="none"/>
        </w:rPr>
        <w:t>购置的应用软件的注册版权，遵守国家《计算机软件保护条例》有关规定，不得以任何形式再次转让、租赁</w:t>
      </w:r>
      <w:r>
        <w:rPr>
          <w:rFonts w:hint="eastAsia" w:cs="宋体" w:asciiTheme="minorEastAsia" w:hAnsiTheme="minorEastAsia" w:eastAsiaTheme="minorEastAsia"/>
          <w:color w:val="auto"/>
          <w:sz w:val="24"/>
          <w:highlight w:val="none"/>
          <w:lang w:eastAsia="zh-CN"/>
        </w:rPr>
        <w:t>服务商</w:t>
      </w:r>
      <w:r>
        <w:rPr>
          <w:rFonts w:hint="eastAsia" w:cs="宋体" w:asciiTheme="minorEastAsia" w:hAnsiTheme="minorEastAsia" w:eastAsiaTheme="minorEastAsia"/>
          <w:color w:val="auto"/>
          <w:sz w:val="24"/>
          <w:highlight w:val="none"/>
        </w:rPr>
        <w:t>具有完整版权的软件，并不得以任何形式或手段解密该软件。</w:t>
      </w:r>
    </w:p>
    <w:p w14:paraId="3FD46468">
      <w:pPr>
        <w:spacing w:line="360" w:lineRule="auto"/>
        <w:ind w:firstLine="480" w:firstLineChars="200"/>
        <w:rPr>
          <w:rFonts w:hint="eastAsia"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w:t>
      </w:r>
      <w:r>
        <w:rPr>
          <w:rFonts w:cs="宋体" w:asciiTheme="minorEastAsia" w:hAnsiTheme="minorEastAsia" w:eastAsiaTheme="minorEastAsia"/>
          <w:color w:val="auto"/>
          <w:sz w:val="24"/>
          <w:highlight w:val="none"/>
        </w:rPr>
        <w:t>3</w:t>
      </w:r>
      <w:r>
        <w:rPr>
          <w:rFonts w:hint="eastAsia" w:cs="宋体" w:asciiTheme="minorEastAsia" w:hAnsiTheme="minorEastAsia" w:eastAsiaTheme="minorEastAsia"/>
          <w:color w:val="auto"/>
          <w:sz w:val="24"/>
          <w:highlight w:val="none"/>
        </w:rPr>
        <w:t>）采购人在遵循法律及上述两项条款框架内使用系统软件时，不受</w:t>
      </w:r>
      <w:r>
        <w:rPr>
          <w:rFonts w:hint="eastAsia" w:cs="宋体" w:asciiTheme="minorEastAsia" w:hAnsiTheme="minorEastAsia" w:eastAsiaTheme="minorEastAsia"/>
          <w:color w:val="auto"/>
          <w:sz w:val="24"/>
          <w:highlight w:val="none"/>
          <w:lang w:eastAsia="zh-CN"/>
        </w:rPr>
        <w:t>服务商</w:t>
      </w:r>
      <w:r>
        <w:rPr>
          <w:rFonts w:hint="eastAsia" w:cs="宋体" w:asciiTheme="minorEastAsia" w:hAnsiTheme="minorEastAsia" w:eastAsiaTheme="minorEastAsia"/>
          <w:color w:val="auto"/>
          <w:sz w:val="24"/>
          <w:highlight w:val="none"/>
        </w:rPr>
        <w:t>任何其他约束限制。</w:t>
      </w:r>
    </w:p>
    <w:p w14:paraId="0242E474">
      <w:pPr>
        <w:spacing w:line="360" w:lineRule="auto"/>
        <w:ind w:firstLine="480" w:firstLineChars="200"/>
        <w:rPr>
          <w:rFonts w:hint="eastAsia"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w:t>
      </w:r>
      <w:r>
        <w:rPr>
          <w:rFonts w:cs="宋体" w:asciiTheme="minorEastAsia" w:hAnsiTheme="minorEastAsia" w:eastAsiaTheme="minorEastAsia"/>
          <w:color w:val="auto"/>
          <w:sz w:val="24"/>
          <w:highlight w:val="none"/>
        </w:rPr>
        <w:t>4</w:t>
      </w:r>
      <w:r>
        <w:rPr>
          <w:rFonts w:hint="eastAsia" w:cs="宋体" w:asciiTheme="minorEastAsia" w:hAnsiTheme="minorEastAsia" w:eastAsiaTheme="minorEastAsia"/>
          <w:color w:val="auto"/>
          <w:sz w:val="24"/>
          <w:highlight w:val="none"/>
        </w:rPr>
        <w:t>）系统采集之所有数据，所有权归采购人所有。</w:t>
      </w:r>
    </w:p>
    <w:p w14:paraId="4696A36A">
      <w:pPr>
        <w:numPr>
          <w:ilvl w:val="0"/>
          <w:numId w:val="19"/>
        </w:numPr>
        <w:tabs>
          <w:tab w:val="left" w:pos="0"/>
          <w:tab w:val="left" w:pos="210"/>
          <w:tab w:val="left" w:pos="567"/>
        </w:tabs>
        <w:spacing w:line="360" w:lineRule="auto"/>
        <w:ind w:left="0"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保密原则</w:t>
      </w:r>
    </w:p>
    <w:p w14:paraId="1DC56D9A">
      <w:pP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项目中所涉及的双方的内部资料、数据和其他商业信息，未经信息拥有方的许可，信息获得方不得以任何形式用于合同之外的目的，不得以任何形式向第三方泄露。</w:t>
      </w:r>
      <w:r>
        <w:rPr>
          <w:rFonts w:hint="eastAsia" w:cs="宋体" w:asciiTheme="minorEastAsia" w:hAnsiTheme="minorEastAsia" w:eastAsiaTheme="minorEastAsia"/>
          <w:color w:val="auto"/>
          <w:sz w:val="24"/>
          <w:highlight w:val="none"/>
          <w:lang w:eastAsia="zh-CN"/>
        </w:rPr>
        <w:t>服务商</w:t>
      </w:r>
      <w:r>
        <w:rPr>
          <w:rFonts w:hint="eastAsia" w:cs="宋体" w:asciiTheme="minorEastAsia" w:hAnsiTheme="minorEastAsia" w:eastAsiaTheme="minorEastAsia"/>
          <w:color w:val="auto"/>
          <w:sz w:val="24"/>
          <w:highlight w:val="none"/>
        </w:rPr>
        <w:t>不得在软件系统中留有任何可能导致采购人数据泄密的软件“后门”。发生</w:t>
      </w:r>
    </w:p>
    <w:p w14:paraId="52C2922E">
      <w:pP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泄密事件，信息拥有方有权追究泄密方的经济和法律责任。</w:t>
      </w:r>
    </w:p>
    <w:p w14:paraId="1616DA5C">
      <w:pPr>
        <w:spacing w:line="360" w:lineRule="auto"/>
        <w:ind w:firstLine="480" w:firstLineChars="200"/>
        <w:rPr>
          <w:rFonts w:hint="eastAsia" w:cs="宋体" w:asciiTheme="minorEastAsia" w:hAnsiTheme="minorEastAsia" w:eastAsiaTheme="minorEastAsia"/>
          <w:color w:val="auto"/>
          <w:sz w:val="24"/>
          <w:highlight w:val="none"/>
        </w:rPr>
      </w:pPr>
    </w:p>
    <w:p w14:paraId="68CF694E">
      <w:pPr>
        <w:spacing w:line="360" w:lineRule="auto"/>
        <w:ind w:firstLine="602" w:firstLineChars="200"/>
        <w:rPr>
          <w:rFonts w:hint="eastAsia" w:ascii="宋体" w:hAnsi="宋体" w:cs="宋体"/>
          <w:b/>
          <w:color w:val="auto"/>
          <w:sz w:val="30"/>
          <w:szCs w:val="30"/>
          <w:highlight w:val="none"/>
        </w:rPr>
      </w:pPr>
      <w:r>
        <w:rPr>
          <w:rFonts w:ascii="宋体" w:hAnsi="宋体" w:cs="宋体"/>
          <w:b/>
          <w:color w:val="auto"/>
          <w:sz w:val="30"/>
          <w:szCs w:val="30"/>
          <w:highlight w:val="none"/>
        </w:rPr>
        <w:br w:type="page"/>
      </w:r>
    </w:p>
    <w:p w14:paraId="31A65B1F">
      <w:pPr>
        <w:tabs>
          <w:tab w:val="left" w:pos="780"/>
        </w:tabs>
        <w:spacing w:before="120" w:beforeLines="50" w:line="360" w:lineRule="auto"/>
        <w:outlineLvl w:val="0"/>
        <w:rPr>
          <w:rFonts w:hint="eastAsia" w:ascii="宋体" w:hAnsi="宋体" w:cs="宋体"/>
          <w:b/>
          <w:color w:val="auto"/>
          <w:szCs w:val="21"/>
          <w:highlight w:val="none"/>
        </w:rPr>
      </w:pPr>
      <w:r>
        <w:rPr>
          <w:rFonts w:hint="eastAsia" w:ascii="宋体" w:hAnsi="宋体" w:cs="宋体"/>
          <w:b/>
          <w:color w:val="auto"/>
          <w:szCs w:val="21"/>
          <w:highlight w:val="none"/>
        </w:rPr>
        <w:t>附件1</w:t>
      </w:r>
    </w:p>
    <w:p w14:paraId="1835EEB5">
      <w:pPr>
        <w:spacing w:line="276"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lang w:val="zh-CN"/>
        </w:rPr>
        <w:t>广东省人民医院信息项目供应商履约评价方案</w:t>
      </w:r>
      <w:r>
        <w:rPr>
          <w:rFonts w:hint="eastAsia" w:ascii="宋体" w:hAnsi="宋体" w:cs="宋体"/>
          <w:b/>
          <w:bCs/>
          <w:color w:val="auto"/>
          <w:sz w:val="24"/>
          <w:highlight w:val="none"/>
        </w:rPr>
        <w:t>确认书</w:t>
      </w:r>
    </w:p>
    <w:p w14:paraId="4AEFBE55">
      <w:pPr>
        <w:spacing w:line="276" w:lineRule="auto"/>
        <w:ind w:firstLine="480" w:firstLineChars="200"/>
        <w:rPr>
          <w:rFonts w:hint="eastAsia" w:ascii="宋体" w:hAnsi="宋体" w:cs="宋体"/>
          <w:bCs/>
          <w:color w:val="auto"/>
          <w:sz w:val="24"/>
          <w:highlight w:val="none"/>
          <w:lang w:val="zh-CN"/>
        </w:rPr>
      </w:pPr>
      <w:r>
        <w:rPr>
          <w:rFonts w:hint="eastAsia" w:ascii="宋体" w:hAnsi="宋体" w:cs="宋体"/>
          <w:bCs/>
          <w:color w:val="auto"/>
          <w:sz w:val="24"/>
          <w:highlight w:val="none"/>
          <w:lang w:val="zh-CN"/>
        </w:rPr>
        <w:t>为进一步完善对信息项目供应商管理、加强监管及有效推进项目进度，建立信息项目合作供应商履约评价反馈机制、具体方案如下：</w:t>
      </w:r>
    </w:p>
    <w:p w14:paraId="69363D7B">
      <w:pPr>
        <w:pStyle w:val="7"/>
        <w:numPr>
          <w:ilvl w:val="0"/>
          <w:numId w:val="20"/>
        </w:numPr>
        <w:spacing w:line="276" w:lineRule="auto"/>
        <w:ind w:left="0" w:firstLine="0" w:firstLineChars="0"/>
        <w:rPr>
          <w:rFonts w:hint="eastAsia" w:ascii="宋体" w:hAnsi="宋体" w:cs="宋体"/>
          <w:b/>
          <w:color w:val="auto"/>
          <w:sz w:val="24"/>
          <w:highlight w:val="none"/>
        </w:rPr>
      </w:pPr>
      <w:r>
        <w:rPr>
          <w:rFonts w:hint="eastAsia" w:ascii="宋体" w:hAnsi="宋体" w:cs="宋体"/>
          <w:b/>
          <w:color w:val="auto"/>
          <w:sz w:val="24"/>
          <w:highlight w:val="none"/>
        </w:rPr>
        <w:t>评价反馈范围</w:t>
      </w:r>
    </w:p>
    <w:p w14:paraId="2DF91D11">
      <w:pPr>
        <w:spacing w:line="276" w:lineRule="auto"/>
        <w:rPr>
          <w:rFonts w:hint="eastAsia" w:ascii="宋体" w:hAnsi="宋体" w:cs="宋体"/>
          <w:bCs/>
          <w:color w:val="auto"/>
          <w:sz w:val="24"/>
          <w:highlight w:val="none"/>
          <w:lang w:val="zh-CN"/>
        </w:rPr>
      </w:pPr>
      <w:r>
        <w:rPr>
          <w:rFonts w:hint="eastAsia" w:ascii="宋体" w:hAnsi="宋体" w:cs="宋体"/>
          <w:bCs/>
          <w:color w:val="auto"/>
          <w:sz w:val="24"/>
          <w:highlight w:val="none"/>
          <w:lang w:val="zh-CN"/>
        </w:rPr>
        <w:t>通过招标采购方式的在建信息项目（即尚未完成验收信息项目）。</w:t>
      </w:r>
    </w:p>
    <w:p w14:paraId="7020842F">
      <w:pPr>
        <w:pStyle w:val="7"/>
        <w:numPr>
          <w:ilvl w:val="0"/>
          <w:numId w:val="20"/>
        </w:numPr>
        <w:spacing w:line="276" w:lineRule="auto"/>
        <w:ind w:left="0" w:firstLine="0" w:firstLineChars="0"/>
        <w:rPr>
          <w:rFonts w:hint="eastAsia" w:ascii="宋体" w:hAnsi="宋体" w:cs="宋体"/>
          <w:b/>
          <w:color w:val="auto"/>
          <w:sz w:val="24"/>
          <w:highlight w:val="none"/>
        </w:rPr>
      </w:pPr>
      <w:r>
        <w:rPr>
          <w:rFonts w:hint="eastAsia" w:ascii="宋体" w:hAnsi="宋体" w:cs="宋体"/>
          <w:b/>
          <w:color w:val="auto"/>
          <w:sz w:val="24"/>
          <w:highlight w:val="none"/>
        </w:rPr>
        <w:t>评价反馈周期</w:t>
      </w:r>
    </w:p>
    <w:p w14:paraId="3512BD7E">
      <w:pPr>
        <w:spacing w:line="276" w:lineRule="auto"/>
        <w:rPr>
          <w:rFonts w:hint="eastAsia" w:ascii="宋体" w:hAnsi="宋体" w:cs="宋体"/>
          <w:bCs/>
          <w:color w:val="auto"/>
          <w:sz w:val="24"/>
          <w:highlight w:val="none"/>
          <w:lang w:val="zh-CN"/>
        </w:rPr>
      </w:pPr>
      <w:r>
        <w:rPr>
          <w:rFonts w:hint="eastAsia" w:ascii="宋体" w:hAnsi="宋体" w:cs="宋体"/>
          <w:bCs/>
          <w:color w:val="auto"/>
          <w:sz w:val="24"/>
          <w:highlight w:val="none"/>
          <w:lang w:val="zh-CN"/>
        </w:rPr>
        <w:t>不定期（至少每三个月一次）对项目承建供应商进行评价反馈。</w:t>
      </w:r>
    </w:p>
    <w:p w14:paraId="54A890A6">
      <w:pPr>
        <w:pStyle w:val="7"/>
        <w:numPr>
          <w:ilvl w:val="0"/>
          <w:numId w:val="20"/>
        </w:numPr>
        <w:spacing w:line="276" w:lineRule="auto"/>
        <w:ind w:left="0" w:firstLine="0" w:firstLineChars="0"/>
        <w:rPr>
          <w:rFonts w:hint="eastAsia" w:ascii="宋体" w:hAnsi="宋体" w:cs="宋体"/>
          <w:b/>
          <w:color w:val="auto"/>
          <w:sz w:val="24"/>
          <w:highlight w:val="none"/>
        </w:rPr>
      </w:pPr>
      <w:r>
        <w:rPr>
          <w:rFonts w:hint="eastAsia" w:ascii="宋体" w:hAnsi="宋体" w:cs="宋体"/>
          <w:b/>
          <w:color w:val="auto"/>
          <w:sz w:val="24"/>
          <w:highlight w:val="none"/>
        </w:rPr>
        <w:t>评价评分机制</w:t>
      </w:r>
    </w:p>
    <w:p w14:paraId="68E321E3">
      <w:pPr>
        <w:numPr>
          <w:ilvl w:val="0"/>
          <w:numId w:val="21"/>
        </w:numPr>
        <w:spacing w:line="276" w:lineRule="auto"/>
        <w:ind w:firstLine="0"/>
        <w:rPr>
          <w:rFonts w:hint="eastAsia" w:ascii="宋体" w:hAnsi="宋体" w:cs="宋体"/>
          <w:color w:val="auto"/>
          <w:sz w:val="24"/>
          <w:highlight w:val="none"/>
        </w:rPr>
      </w:pPr>
      <w:r>
        <w:rPr>
          <w:rFonts w:hint="eastAsia" w:ascii="宋体" w:hAnsi="宋体" w:cs="宋体"/>
          <w:color w:val="auto"/>
          <w:sz w:val="24"/>
          <w:highlight w:val="none"/>
        </w:rPr>
        <w:t>由项目主管对项目承建供应商的履约情况进行评分，并填写《广东省人民医院在建信息项目承建供应商履约评分表》（详见附件2）、由项目监管对评分进行审核签字。</w:t>
      </w:r>
    </w:p>
    <w:p w14:paraId="4F498723">
      <w:pPr>
        <w:numPr>
          <w:ilvl w:val="0"/>
          <w:numId w:val="21"/>
        </w:numPr>
        <w:spacing w:line="276" w:lineRule="auto"/>
        <w:ind w:firstLine="0"/>
        <w:rPr>
          <w:rFonts w:hint="eastAsia" w:ascii="宋体" w:hAnsi="宋体" w:cs="宋体"/>
          <w:color w:val="auto"/>
          <w:sz w:val="24"/>
          <w:highlight w:val="none"/>
        </w:rPr>
      </w:pPr>
      <w:r>
        <w:rPr>
          <w:rFonts w:hint="eastAsia" w:ascii="宋体" w:hAnsi="宋体" w:cs="宋体"/>
          <w:color w:val="auto"/>
          <w:sz w:val="24"/>
          <w:highlight w:val="none"/>
        </w:rPr>
        <w:t>由信管处业务管理科收集汇总每季度各信息项目承建供应商的履约评分情况、提交信管处处务会通报并呈报信息主管副院长。</w:t>
      </w:r>
    </w:p>
    <w:p w14:paraId="41337365">
      <w:pPr>
        <w:numPr>
          <w:ilvl w:val="0"/>
          <w:numId w:val="21"/>
        </w:numPr>
        <w:spacing w:line="276" w:lineRule="auto"/>
        <w:ind w:firstLine="0"/>
        <w:rPr>
          <w:rFonts w:hint="eastAsia" w:ascii="宋体" w:hAnsi="宋体" w:cs="宋体"/>
          <w:color w:val="auto"/>
          <w:sz w:val="24"/>
          <w:highlight w:val="none"/>
        </w:rPr>
      </w:pPr>
      <w:r>
        <w:rPr>
          <w:rFonts w:hint="eastAsia" w:ascii="宋体" w:hAnsi="宋体" w:cs="宋体"/>
          <w:color w:val="auto"/>
          <w:sz w:val="24"/>
          <w:highlight w:val="none"/>
        </w:rPr>
        <w:t>根据评分结果，对履约评分低于70分的供应商采取敦促措施如下：</w:t>
      </w:r>
    </w:p>
    <w:p w14:paraId="20A1963F">
      <w:pPr>
        <w:pStyle w:val="7"/>
        <w:tabs>
          <w:tab w:val="left" w:pos="640"/>
        </w:tabs>
        <w:spacing w:line="276" w:lineRule="auto"/>
        <w:ind w:firstLine="0" w:firstLineChars="0"/>
        <w:rPr>
          <w:rFonts w:hint="eastAsia" w:ascii="宋体" w:hAnsi="宋体" w:cs="宋体"/>
          <w:color w:val="auto"/>
          <w:sz w:val="24"/>
          <w:highlight w:val="none"/>
        </w:rPr>
      </w:pPr>
      <w:r>
        <w:rPr>
          <w:rFonts w:hint="eastAsia" w:ascii="宋体" w:hAnsi="宋体" w:cs="宋体"/>
          <w:color w:val="auto"/>
          <w:sz w:val="24"/>
          <w:highlight w:val="none"/>
        </w:rPr>
        <w:t>（1）首次季度履约评分低于70分（含70分）：由信管处业务管理科联同项目组约谈供应商，并将约谈记录和评分结果和通过公函正式反馈供应商。</w:t>
      </w:r>
    </w:p>
    <w:p w14:paraId="2154181A">
      <w:pPr>
        <w:pStyle w:val="7"/>
        <w:tabs>
          <w:tab w:val="left" w:pos="640"/>
        </w:tabs>
        <w:spacing w:line="276" w:lineRule="auto"/>
        <w:ind w:firstLine="0" w:firstLineChars="0"/>
        <w:rPr>
          <w:rFonts w:hint="eastAsia" w:ascii="宋体" w:hAnsi="宋体" w:cs="宋体"/>
          <w:color w:val="auto"/>
          <w:sz w:val="24"/>
          <w:highlight w:val="none"/>
        </w:rPr>
      </w:pPr>
      <w:r>
        <w:rPr>
          <w:rFonts w:hint="eastAsia" w:ascii="宋体" w:hAnsi="宋体" w:cs="宋体"/>
          <w:color w:val="auto"/>
          <w:sz w:val="24"/>
          <w:highlight w:val="none"/>
        </w:rPr>
        <w:t>（2）连续两个季度履约评分低于70分（含70分）：由信管处业务管理科呈报提请信息主管副院长约谈供应商；将约谈记录和评分结果正式通过公函反馈供应商，并对应扣罚20%履约保证金。我院有权单方面解除合同。</w:t>
      </w:r>
    </w:p>
    <w:p w14:paraId="5A335903">
      <w:pPr>
        <w:pStyle w:val="7"/>
        <w:tabs>
          <w:tab w:val="left" w:pos="640"/>
        </w:tabs>
        <w:spacing w:line="276" w:lineRule="auto"/>
        <w:ind w:firstLine="0" w:firstLineChars="0"/>
        <w:rPr>
          <w:rFonts w:hint="eastAsia" w:ascii="宋体" w:hAnsi="宋体" w:cs="宋体"/>
          <w:color w:val="auto"/>
          <w:sz w:val="24"/>
          <w:highlight w:val="none"/>
        </w:rPr>
      </w:pPr>
      <w:r>
        <w:rPr>
          <w:rFonts w:hint="eastAsia" w:ascii="宋体" w:hAnsi="宋体" w:cs="宋体"/>
          <w:color w:val="auto"/>
          <w:sz w:val="24"/>
          <w:highlight w:val="none"/>
        </w:rPr>
        <w:t>（3）连续三个季度履约评分低于70分（含70分）：由信管处形成报告呈报院长办公会、提请将该供应商列入我院采购黑名单、并扣罚该项目剩余履约保证金。我院有权单方面解除合同。</w:t>
      </w:r>
    </w:p>
    <w:p w14:paraId="56B7253D">
      <w:pPr>
        <w:pStyle w:val="7"/>
        <w:numPr>
          <w:ilvl w:val="0"/>
          <w:numId w:val="20"/>
        </w:numPr>
        <w:spacing w:line="276" w:lineRule="auto"/>
        <w:ind w:left="0" w:firstLine="0" w:firstLineChars="0"/>
        <w:rPr>
          <w:rFonts w:hint="eastAsia" w:ascii="宋体" w:hAnsi="宋体" w:cs="宋体"/>
          <w:b/>
          <w:color w:val="auto"/>
          <w:sz w:val="24"/>
          <w:highlight w:val="none"/>
        </w:rPr>
      </w:pPr>
      <w:r>
        <w:rPr>
          <w:rFonts w:hint="eastAsia" w:ascii="宋体" w:hAnsi="宋体" w:cs="宋体"/>
          <w:b/>
          <w:color w:val="auto"/>
          <w:sz w:val="24"/>
          <w:highlight w:val="none"/>
        </w:rPr>
        <w:t>其他</w:t>
      </w:r>
    </w:p>
    <w:p w14:paraId="660F660C">
      <w:pPr>
        <w:spacing w:line="276" w:lineRule="auto"/>
        <w:rPr>
          <w:rFonts w:hint="eastAsia" w:ascii="宋体" w:hAnsi="宋体" w:cs="宋体"/>
          <w:color w:val="auto"/>
          <w:sz w:val="24"/>
          <w:highlight w:val="none"/>
        </w:rPr>
      </w:pPr>
      <w:r>
        <w:rPr>
          <w:rFonts w:hint="eastAsia" w:ascii="宋体" w:hAnsi="宋体" w:cs="宋体"/>
          <w:color w:val="auto"/>
          <w:sz w:val="24"/>
          <w:highlight w:val="none"/>
        </w:rPr>
        <w:t>本确认书一式两份，采购人一份，中标供应商一份，两份协议具有同等法律效力。本确认书自中标供应商盖章之日起生效。</w:t>
      </w:r>
    </w:p>
    <w:p w14:paraId="21959F2C">
      <w:pPr>
        <w:spacing w:line="276" w:lineRule="auto"/>
        <w:rPr>
          <w:rFonts w:hint="eastAsia" w:ascii="宋体" w:hAnsi="宋体" w:cs="宋体"/>
          <w:color w:val="auto"/>
          <w:sz w:val="24"/>
          <w:highlight w:val="none"/>
        </w:rPr>
      </w:pPr>
    </w:p>
    <w:p w14:paraId="57C00F64">
      <w:pPr>
        <w:spacing w:line="276" w:lineRule="auto"/>
        <w:rPr>
          <w:rFonts w:hint="eastAsia" w:ascii="宋体" w:hAnsi="宋体" w:cs="宋体"/>
          <w:color w:val="auto"/>
          <w:sz w:val="24"/>
          <w:highlight w:val="none"/>
        </w:rPr>
      </w:pPr>
      <w:r>
        <w:rPr>
          <w:rFonts w:hint="eastAsia" w:ascii="宋体" w:hAnsi="宋体" w:cs="宋体"/>
          <w:color w:val="auto"/>
          <w:sz w:val="24"/>
          <w:highlight w:val="none"/>
        </w:rPr>
        <w:t>附件2：《广东省人民医院在建信息项目承建供应商履约评分表》</w:t>
      </w:r>
    </w:p>
    <w:p w14:paraId="0A54D569">
      <w:pPr>
        <w:wordWrap w:val="0"/>
        <w:spacing w:line="276" w:lineRule="auto"/>
        <w:jc w:val="right"/>
        <w:rPr>
          <w:rFonts w:hint="eastAsia" w:ascii="宋体" w:hAnsi="宋体" w:cs="宋体"/>
          <w:b/>
          <w:color w:val="auto"/>
          <w:sz w:val="24"/>
          <w:highlight w:val="none"/>
        </w:rPr>
      </w:pPr>
      <w:r>
        <w:rPr>
          <w:rFonts w:hint="eastAsia" w:ascii="宋体" w:hAnsi="宋体" w:cs="宋体"/>
          <w:b/>
          <w:color w:val="auto"/>
          <w:sz w:val="24"/>
          <w:highlight w:val="none"/>
        </w:rPr>
        <w:t xml:space="preserve">广东省人民医院   </w:t>
      </w:r>
    </w:p>
    <w:p w14:paraId="38996614">
      <w:pPr>
        <w:wordWrap w:val="0"/>
        <w:spacing w:line="276" w:lineRule="auto"/>
        <w:jc w:val="right"/>
        <w:rPr>
          <w:rFonts w:hint="eastAsia" w:ascii="宋体" w:hAnsi="宋体" w:cs="宋体"/>
          <w:b/>
          <w:color w:val="auto"/>
          <w:sz w:val="24"/>
          <w:highlight w:val="none"/>
        </w:rPr>
      </w:pPr>
      <w:r>
        <w:rPr>
          <w:rFonts w:hint="eastAsia" w:ascii="宋体" w:hAnsi="宋体" w:cs="宋体"/>
          <w:b/>
          <w:color w:val="auto"/>
          <w:sz w:val="24"/>
          <w:highlight w:val="none"/>
        </w:rPr>
        <w:t xml:space="preserve">信息管理处    </w:t>
      </w:r>
    </w:p>
    <w:p w14:paraId="44EEC53A">
      <w:pPr>
        <w:spacing w:line="276" w:lineRule="auto"/>
        <w:jc w:val="right"/>
        <w:rPr>
          <w:rFonts w:hint="eastAsia" w:ascii="宋体" w:hAnsi="宋体" w:cs="宋体"/>
          <w:b/>
          <w:color w:val="auto"/>
          <w:sz w:val="24"/>
          <w:highlight w:val="none"/>
        </w:rPr>
      </w:pPr>
      <w:r>
        <w:rPr>
          <w:rFonts w:hint="eastAsia" w:ascii="宋体" w:hAnsi="宋体" w:cs="宋体"/>
          <w:b/>
          <w:color w:val="auto"/>
          <w:sz w:val="24"/>
          <w:highlight w:val="none"/>
        </w:rPr>
        <w:t>202    年    月    日</w:t>
      </w:r>
    </w:p>
    <w:p w14:paraId="0384C8A8">
      <w:pPr>
        <w:spacing w:line="276" w:lineRule="auto"/>
        <w:rPr>
          <w:rFonts w:hint="eastAsia" w:ascii="宋体" w:hAnsi="宋体" w:cs="宋体"/>
          <w:b/>
          <w:color w:val="auto"/>
          <w:sz w:val="24"/>
          <w:highlight w:val="none"/>
        </w:rPr>
      </w:pPr>
      <w:r>
        <w:rPr>
          <w:rFonts w:hint="eastAsia" w:ascii="宋体" w:hAnsi="宋体" w:cs="宋体"/>
          <w:b/>
          <w:color w:val="auto"/>
          <w:sz w:val="24"/>
          <w:highlight w:val="none"/>
        </w:rPr>
        <w:t>供应商名称（盖章）：</w:t>
      </w:r>
    </w:p>
    <w:p w14:paraId="2833018A">
      <w:pPr>
        <w:spacing w:line="276" w:lineRule="auto"/>
        <w:rPr>
          <w:rFonts w:hint="eastAsia" w:ascii="宋体" w:hAnsi="宋体" w:cs="宋体"/>
          <w:b/>
          <w:color w:val="auto"/>
          <w:sz w:val="24"/>
          <w:highlight w:val="none"/>
        </w:rPr>
      </w:pPr>
      <w:r>
        <w:rPr>
          <w:rFonts w:hint="eastAsia" w:ascii="宋体" w:hAnsi="宋体" w:cs="宋体"/>
          <w:b/>
          <w:color w:val="auto"/>
          <w:sz w:val="24"/>
          <w:highlight w:val="none"/>
        </w:rPr>
        <w:t>我司同意执行贵院的履约评价方案。</w:t>
      </w:r>
    </w:p>
    <w:p w14:paraId="16DD5FD4">
      <w:pPr>
        <w:spacing w:line="276" w:lineRule="auto"/>
        <w:rPr>
          <w:rFonts w:hint="eastAsia" w:ascii="宋体" w:hAnsi="宋体" w:cs="宋体"/>
          <w:b/>
          <w:color w:val="auto"/>
          <w:sz w:val="24"/>
          <w:highlight w:val="none"/>
        </w:rPr>
      </w:pPr>
    </w:p>
    <w:p w14:paraId="247AC1E0">
      <w:pPr>
        <w:spacing w:line="276" w:lineRule="auto"/>
        <w:rPr>
          <w:rFonts w:hint="eastAsia" w:ascii="宋体" w:hAnsi="宋体" w:cs="宋体"/>
          <w:b/>
          <w:color w:val="auto"/>
          <w:sz w:val="24"/>
          <w:highlight w:val="none"/>
        </w:rPr>
      </w:pPr>
      <w:r>
        <w:rPr>
          <w:rFonts w:hint="eastAsia" w:ascii="宋体" w:hAnsi="宋体" w:cs="宋体"/>
          <w:b/>
          <w:color w:val="auto"/>
          <w:sz w:val="24"/>
          <w:highlight w:val="none"/>
        </w:rPr>
        <w:t>项 目 名称：</w:t>
      </w:r>
    </w:p>
    <w:p w14:paraId="38EC699B">
      <w:pPr>
        <w:spacing w:line="276" w:lineRule="auto"/>
        <w:rPr>
          <w:rFonts w:hint="eastAsia" w:ascii="宋体" w:hAnsi="宋体" w:cs="宋体"/>
          <w:b/>
          <w:color w:val="auto"/>
          <w:sz w:val="24"/>
          <w:highlight w:val="none"/>
        </w:rPr>
      </w:pPr>
      <w:r>
        <w:rPr>
          <w:rFonts w:hint="eastAsia" w:ascii="宋体" w:hAnsi="宋体" w:cs="宋体"/>
          <w:b/>
          <w:color w:val="auto"/>
          <w:sz w:val="24"/>
          <w:highlight w:val="none"/>
        </w:rPr>
        <w:t>项目负责人：</w:t>
      </w:r>
    </w:p>
    <w:p w14:paraId="20421667">
      <w:pPr>
        <w:spacing w:line="276" w:lineRule="auto"/>
        <w:rPr>
          <w:rFonts w:hint="eastAsia" w:ascii="宋体" w:hAnsi="宋体" w:cs="宋体"/>
          <w:b/>
          <w:color w:val="auto"/>
          <w:sz w:val="24"/>
          <w:highlight w:val="none"/>
        </w:rPr>
      </w:pPr>
      <w:r>
        <w:rPr>
          <w:rFonts w:hint="eastAsia" w:ascii="宋体" w:hAnsi="宋体" w:cs="宋体"/>
          <w:b/>
          <w:color w:val="auto"/>
          <w:sz w:val="24"/>
          <w:highlight w:val="none"/>
        </w:rPr>
        <w:t>手  机  号：</w:t>
      </w:r>
    </w:p>
    <w:p w14:paraId="209C309E">
      <w:pPr>
        <w:spacing w:line="276" w:lineRule="auto"/>
        <w:rPr>
          <w:rFonts w:hint="eastAsia" w:ascii="宋体" w:hAnsi="宋体" w:cs="宋体"/>
          <w:b/>
          <w:color w:val="auto"/>
          <w:sz w:val="24"/>
          <w:highlight w:val="none"/>
        </w:rPr>
      </w:pPr>
      <w:r>
        <w:rPr>
          <w:rFonts w:hint="eastAsia" w:ascii="宋体" w:hAnsi="宋体" w:cs="宋体"/>
          <w:b/>
          <w:color w:val="auto"/>
          <w:sz w:val="24"/>
          <w:highlight w:val="none"/>
        </w:rPr>
        <w:t>邮      箱：</w:t>
      </w:r>
    </w:p>
    <w:p w14:paraId="593C50F4">
      <w:pPr>
        <w:spacing w:line="276" w:lineRule="auto"/>
        <w:rPr>
          <w:rFonts w:hint="eastAsia" w:ascii="宋体" w:hAnsi="宋体" w:cs="宋体"/>
          <w:b/>
          <w:color w:val="auto"/>
          <w:sz w:val="24"/>
          <w:highlight w:val="none"/>
        </w:rPr>
        <w:sectPr>
          <w:footerReference r:id="rId3" w:type="default"/>
          <w:pgSz w:w="11900" w:h="16840"/>
          <w:pgMar w:top="1134" w:right="1127" w:bottom="1560" w:left="1134" w:header="0" w:footer="694" w:gutter="0"/>
          <w:cols w:space="720" w:num="1"/>
        </w:sectPr>
      </w:pPr>
      <w:r>
        <w:rPr>
          <w:rFonts w:hint="eastAsia" w:ascii="宋体" w:hAnsi="宋体" w:cs="宋体"/>
          <w:b/>
          <w:color w:val="auto"/>
          <w:sz w:val="24"/>
          <w:highlight w:val="none"/>
        </w:rPr>
        <w:t>日      期：</w:t>
      </w:r>
    </w:p>
    <w:p w14:paraId="6244DBE1">
      <w:pPr>
        <w:tabs>
          <w:tab w:val="left" w:pos="780"/>
        </w:tabs>
        <w:spacing w:before="156" w:beforeLines="50" w:line="360" w:lineRule="auto"/>
        <w:outlineLvl w:val="0"/>
        <w:rPr>
          <w:rFonts w:hint="eastAsia" w:ascii="宋体" w:hAnsi="宋体" w:cs="宋体"/>
          <w:b/>
          <w:color w:val="auto"/>
          <w:szCs w:val="21"/>
          <w:highlight w:val="none"/>
        </w:rPr>
      </w:pPr>
      <w:r>
        <w:rPr>
          <w:rFonts w:hint="eastAsia" w:ascii="宋体" w:hAnsi="宋体" w:cs="宋体"/>
          <w:b/>
          <w:color w:val="auto"/>
          <w:szCs w:val="21"/>
          <w:highlight w:val="none"/>
        </w:rPr>
        <w:t>附件2</w:t>
      </w:r>
    </w:p>
    <w:p w14:paraId="5ACE0EC2">
      <w:pPr>
        <w:spacing w:after="156" w:afterLines="50"/>
        <w:jc w:val="center"/>
        <w:rPr>
          <w:rFonts w:hint="eastAsia" w:ascii="宋体" w:hAnsi="宋体" w:cs="宋体"/>
          <w:b/>
          <w:color w:val="auto"/>
          <w:szCs w:val="21"/>
          <w:highlight w:val="none"/>
        </w:rPr>
      </w:pPr>
      <w:r>
        <w:rPr>
          <w:rFonts w:hint="eastAsia" w:ascii="宋体" w:hAnsi="宋体" w:cs="宋体"/>
          <w:b/>
          <w:color w:val="auto"/>
          <w:szCs w:val="21"/>
          <w:highlight w:val="none"/>
        </w:rPr>
        <w:t>广东省人民医院在建信息项目承建供应商履约评分表</w:t>
      </w:r>
    </w:p>
    <w:p w14:paraId="5FD43929">
      <w:pPr>
        <w:spacing w:after="156" w:afterLines="50"/>
        <w:rPr>
          <w:rFonts w:hint="eastAsia" w:ascii="宋体" w:hAnsi="宋体" w:cs="宋体"/>
          <w:b/>
          <w:color w:val="auto"/>
          <w:szCs w:val="21"/>
          <w:highlight w:val="none"/>
        </w:rPr>
      </w:pPr>
      <w:r>
        <w:rPr>
          <w:rFonts w:hint="eastAsia" w:ascii="宋体" w:hAnsi="宋体" w:cs="宋体"/>
          <w:b/>
          <w:color w:val="auto"/>
          <w:szCs w:val="21"/>
          <w:highlight w:val="none"/>
        </w:rPr>
        <w:t>评分周期：202   年第  季度</w:t>
      </w:r>
    </w:p>
    <w:p w14:paraId="01A5A61D">
      <w:pPr>
        <w:spacing w:after="156" w:afterLines="50"/>
        <w:rPr>
          <w:rFonts w:hint="eastAsia" w:ascii="宋体" w:hAnsi="宋体" w:cs="宋体"/>
          <w:b/>
          <w:color w:val="auto"/>
          <w:szCs w:val="21"/>
          <w:highlight w:val="none"/>
        </w:rPr>
      </w:pPr>
      <w:r>
        <w:rPr>
          <w:rFonts w:hint="eastAsia" w:ascii="宋体" w:hAnsi="宋体" w:cs="宋体"/>
          <w:b/>
          <w:color w:val="auto"/>
          <w:szCs w:val="21"/>
          <w:highlight w:val="none"/>
        </w:rPr>
        <w:t>项目名称：</w:t>
      </w:r>
    </w:p>
    <w:p w14:paraId="324DC1F9">
      <w:pPr>
        <w:spacing w:after="156" w:afterLines="50"/>
        <w:rPr>
          <w:rFonts w:hint="eastAsia" w:ascii="宋体" w:hAnsi="宋体" w:cs="宋体"/>
          <w:b/>
          <w:color w:val="auto"/>
          <w:szCs w:val="21"/>
          <w:highlight w:val="none"/>
        </w:rPr>
      </w:pPr>
      <w:r>
        <w:rPr>
          <w:rFonts w:hint="eastAsia" w:ascii="宋体" w:hAnsi="宋体" w:cs="宋体"/>
          <w:b/>
          <w:color w:val="auto"/>
          <w:szCs w:val="21"/>
          <w:highlight w:val="none"/>
        </w:rPr>
        <w:t>供应商名称：</w:t>
      </w:r>
    </w:p>
    <w:tbl>
      <w:tblPr>
        <w:tblStyle w:val="4"/>
        <w:tblW w:w="9523" w:type="dxa"/>
        <w:jc w:val="center"/>
        <w:tblLayout w:type="fixed"/>
        <w:tblCellMar>
          <w:top w:w="0" w:type="dxa"/>
          <w:left w:w="108" w:type="dxa"/>
          <w:bottom w:w="0" w:type="dxa"/>
          <w:right w:w="108" w:type="dxa"/>
        </w:tblCellMar>
      </w:tblPr>
      <w:tblGrid>
        <w:gridCol w:w="636"/>
        <w:gridCol w:w="1140"/>
        <w:gridCol w:w="1269"/>
        <w:gridCol w:w="1379"/>
        <w:gridCol w:w="2809"/>
        <w:gridCol w:w="722"/>
        <w:gridCol w:w="791"/>
        <w:gridCol w:w="777"/>
      </w:tblGrid>
      <w:tr w14:paraId="65C3C815">
        <w:tblPrEx>
          <w:tblCellMar>
            <w:top w:w="0" w:type="dxa"/>
            <w:left w:w="108" w:type="dxa"/>
            <w:bottom w:w="0" w:type="dxa"/>
            <w:right w:w="108" w:type="dxa"/>
          </w:tblCellMar>
        </w:tblPrEx>
        <w:trPr>
          <w:trHeight w:val="690" w:hRule="atLeast"/>
          <w:jc w:val="center"/>
        </w:trPr>
        <w:tc>
          <w:tcPr>
            <w:tcW w:w="636" w:type="dxa"/>
            <w:vMerge w:val="restart"/>
            <w:tcBorders>
              <w:top w:val="single" w:color="000000" w:sz="4" w:space="0"/>
              <w:left w:val="single" w:color="000000" w:sz="4" w:space="0"/>
              <w:bottom w:val="single" w:color="000000" w:sz="4" w:space="0"/>
              <w:right w:val="single" w:color="000000" w:sz="4" w:space="0"/>
            </w:tcBorders>
            <w:vAlign w:val="center"/>
          </w:tcPr>
          <w:p w14:paraId="4A0B05A9">
            <w:pPr>
              <w:jc w:val="left"/>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序号</w:t>
            </w:r>
          </w:p>
        </w:tc>
        <w:tc>
          <w:tcPr>
            <w:tcW w:w="1140" w:type="dxa"/>
            <w:vMerge w:val="restart"/>
            <w:tcBorders>
              <w:top w:val="single" w:color="000000" w:sz="4" w:space="0"/>
              <w:left w:val="single" w:color="000000" w:sz="4" w:space="0"/>
              <w:bottom w:val="single" w:color="000000" w:sz="4" w:space="0"/>
              <w:right w:val="single" w:color="000000" w:sz="4" w:space="0"/>
            </w:tcBorders>
            <w:vAlign w:val="center"/>
          </w:tcPr>
          <w:p w14:paraId="2D3BB194">
            <w:pPr>
              <w:jc w:val="left"/>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评分维度</w:t>
            </w:r>
          </w:p>
        </w:tc>
        <w:tc>
          <w:tcPr>
            <w:tcW w:w="2648"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E8034CB">
            <w:pPr>
              <w:widowControl/>
              <w:jc w:val="left"/>
              <w:textAlignment w:val="center"/>
              <w:rPr>
                <w:rFonts w:hint="eastAsia" w:ascii="仿宋" w:hAnsi="仿宋" w:eastAsia="仿宋" w:cs="仿宋"/>
                <w:b/>
                <w:bCs/>
                <w:color w:val="auto"/>
                <w:szCs w:val="21"/>
                <w:highlight w:val="none"/>
              </w:rPr>
            </w:pPr>
            <w:r>
              <w:rPr>
                <w:rFonts w:hint="eastAsia" w:ascii="仿宋" w:hAnsi="仿宋" w:eastAsia="仿宋" w:cs="仿宋"/>
                <w:b/>
                <w:bCs/>
                <w:color w:val="auto"/>
                <w:kern w:val="0"/>
                <w:szCs w:val="21"/>
                <w:highlight w:val="none"/>
              </w:rPr>
              <w:t>考核办法</w:t>
            </w:r>
          </w:p>
        </w:tc>
        <w:tc>
          <w:tcPr>
            <w:tcW w:w="2809" w:type="dxa"/>
            <w:vMerge w:val="restart"/>
            <w:tcBorders>
              <w:top w:val="single" w:color="000000" w:sz="4" w:space="0"/>
              <w:left w:val="single" w:color="000000" w:sz="4" w:space="0"/>
              <w:bottom w:val="single" w:color="000000" w:sz="4" w:space="0"/>
              <w:right w:val="single" w:color="000000" w:sz="4" w:space="0"/>
            </w:tcBorders>
            <w:vAlign w:val="center"/>
          </w:tcPr>
          <w:p w14:paraId="50F1E487">
            <w:pPr>
              <w:widowControl/>
              <w:jc w:val="left"/>
              <w:textAlignment w:val="center"/>
              <w:rPr>
                <w:rFonts w:hint="eastAsia" w:ascii="仿宋" w:hAnsi="仿宋" w:eastAsia="仿宋" w:cs="仿宋"/>
                <w:b/>
                <w:bCs/>
                <w:color w:val="auto"/>
                <w:szCs w:val="21"/>
                <w:highlight w:val="none"/>
              </w:rPr>
            </w:pPr>
            <w:r>
              <w:rPr>
                <w:rFonts w:hint="eastAsia" w:ascii="仿宋" w:hAnsi="仿宋" w:eastAsia="仿宋" w:cs="仿宋"/>
                <w:b/>
                <w:bCs/>
                <w:color w:val="auto"/>
                <w:kern w:val="0"/>
                <w:szCs w:val="21"/>
                <w:highlight w:val="none"/>
              </w:rPr>
              <w:t>评分细则</w:t>
            </w:r>
          </w:p>
        </w:tc>
        <w:tc>
          <w:tcPr>
            <w:tcW w:w="722" w:type="dxa"/>
            <w:tcBorders>
              <w:top w:val="single" w:color="000000" w:sz="4" w:space="0"/>
              <w:left w:val="single" w:color="000000" w:sz="4" w:space="0"/>
              <w:bottom w:val="single" w:color="000000" w:sz="4" w:space="0"/>
              <w:right w:val="single" w:color="000000" w:sz="4" w:space="0"/>
            </w:tcBorders>
            <w:vAlign w:val="center"/>
          </w:tcPr>
          <w:p w14:paraId="5B46B238">
            <w:pPr>
              <w:widowControl/>
              <w:jc w:val="left"/>
              <w:textAlignment w:val="center"/>
              <w:rPr>
                <w:rFonts w:hint="eastAsia" w:ascii="仿宋" w:hAnsi="仿宋" w:eastAsia="仿宋" w:cs="仿宋"/>
                <w:b/>
                <w:bCs/>
                <w:color w:val="auto"/>
                <w:szCs w:val="21"/>
                <w:highlight w:val="none"/>
              </w:rPr>
            </w:pPr>
            <w:r>
              <w:rPr>
                <w:rFonts w:hint="eastAsia" w:ascii="仿宋" w:hAnsi="仿宋" w:eastAsia="仿宋" w:cs="仿宋"/>
                <w:b/>
                <w:bCs/>
                <w:color w:val="auto"/>
                <w:kern w:val="0"/>
                <w:szCs w:val="21"/>
                <w:highlight w:val="none"/>
              </w:rPr>
              <w:t>不满意</w:t>
            </w:r>
          </w:p>
        </w:tc>
        <w:tc>
          <w:tcPr>
            <w:tcW w:w="791" w:type="dxa"/>
            <w:tcBorders>
              <w:top w:val="single" w:color="000000" w:sz="4" w:space="0"/>
              <w:left w:val="single" w:color="000000" w:sz="4" w:space="0"/>
              <w:bottom w:val="single" w:color="000000" w:sz="4" w:space="0"/>
              <w:right w:val="single" w:color="000000" w:sz="4" w:space="0"/>
            </w:tcBorders>
            <w:vAlign w:val="center"/>
          </w:tcPr>
          <w:p w14:paraId="58B2F781">
            <w:pPr>
              <w:widowControl/>
              <w:jc w:val="left"/>
              <w:textAlignment w:val="center"/>
              <w:rPr>
                <w:rFonts w:hint="eastAsia" w:ascii="仿宋" w:hAnsi="仿宋" w:eastAsia="仿宋" w:cs="仿宋"/>
                <w:b/>
                <w:bCs/>
                <w:color w:val="auto"/>
                <w:szCs w:val="21"/>
                <w:highlight w:val="none"/>
              </w:rPr>
            </w:pPr>
            <w:r>
              <w:rPr>
                <w:rFonts w:hint="eastAsia" w:ascii="仿宋" w:hAnsi="仿宋" w:eastAsia="仿宋" w:cs="仿宋"/>
                <w:b/>
                <w:bCs/>
                <w:color w:val="auto"/>
                <w:kern w:val="0"/>
                <w:szCs w:val="21"/>
                <w:highlight w:val="none"/>
              </w:rPr>
              <w:t>基本满意</w:t>
            </w:r>
          </w:p>
        </w:tc>
        <w:tc>
          <w:tcPr>
            <w:tcW w:w="777" w:type="dxa"/>
            <w:tcBorders>
              <w:top w:val="single" w:color="000000" w:sz="4" w:space="0"/>
              <w:left w:val="single" w:color="000000" w:sz="4" w:space="0"/>
              <w:bottom w:val="single" w:color="000000" w:sz="4" w:space="0"/>
              <w:right w:val="single" w:color="000000" w:sz="4" w:space="0"/>
            </w:tcBorders>
            <w:vAlign w:val="center"/>
          </w:tcPr>
          <w:p w14:paraId="27D84BE3">
            <w:pPr>
              <w:widowControl/>
              <w:jc w:val="left"/>
              <w:textAlignment w:val="center"/>
              <w:rPr>
                <w:rFonts w:hint="eastAsia" w:ascii="仿宋" w:hAnsi="仿宋" w:eastAsia="仿宋" w:cs="仿宋"/>
                <w:b/>
                <w:bCs/>
                <w:color w:val="auto"/>
                <w:szCs w:val="21"/>
                <w:highlight w:val="none"/>
              </w:rPr>
            </w:pPr>
            <w:r>
              <w:rPr>
                <w:rFonts w:hint="eastAsia" w:ascii="仿宋" w:hAnsi="仿宋" w:eastAsia="仿宋" w:cs="仿宋"/>
                <w:b/>
                <w:bCs/>
                <w:color w:val="auto"/>
                <w:kern w:val="0"/>
                <w:szCs w:val="21"/>
                <w:highlight w:val="none"/>
              </w:rPr>
              <w:t>满意</w:t>
            </w:r>
          </w:p>
        </w:tc>
      </w:tr>
      <w:tr w14:paraId="46C646A0">
        <w:trPr>
          <w:trHeight w:val="690" w:hRule="atLeast"/>
          <w:jc w:val="center"/>
        </w:trPr>
        <w:tc>
          <w:tcPr>
            <w:tcW w:w="636" w:type="dxa"/>
            <w:vMerge w:val="continue"/>
            <w:tcBorders>
              <w:top w:val="single" w:color="000000" w:sz="4" w:space="0"/>
              <w:left w:val="single" w:color="000000" w:sz="4" w:space="0"/>
              <w:bottom w:val="single" w:color="000000" w:sz="4" w:space="0"/>
              <w:right w:val="single" w:color="000000" w:sz="4" w:space="0"/>
            </w:tcBorders>
            <w:vAlign w:val="center"/>
          </w:tcPr>
          <w:p w14:paraId="23797254">
            <w:pPr>
              <w:jc w:val="left"/>
              <w:rPr>
                <w:rFonts w:hint="eastAsia" w:ascii="仿宋" w:hAnsi="仿宋" w:eastAsia="仿宋" w:cs="仿宋"/>
                <w:b/>
                <w:bCs/>
                <w:color w:val="auto"/>
                <w:szCs w:val="21"/>
                <w:highlight w:val="none"/>
              </w:rPr>
            </w:pPr>
          </w:p>
        </w:tc>
        <w:tc>
          <w:tcPr>
            <w:tcW w:w="1140" w:type="dxa"/>
            <w:vMerge w:val="continue"/>
            <w:tcBorders>
              <w:top w:val="single" w:color="000000" w:sz="4" w:space="0"/>
              <w:left w:val="single" w:color="000000" w:sz="4" w:space="0"/>
              <w:bottom w:val="single" w:color="000000" w:sz="4" w:space="0"/>
              <w:right w:val="single" w:color="000000" w:sz="4" w:space="0"/>
            </w:tcBorders>
            <w:vAlign w:val="center"/>
          </w:tcPr>
          <w:p w14:paraId="14A80CC9">
            <w:pPr>
              <w:jc w:val="left"/>
              <w:rPr>
                <w:rFonts w:hint="eastAsia" w:ascii="仿宋" w:hAnsi="仿宋" w:eastAsia="仿宋" w:cs="仿宋"/>
                <w:b/>
                <w:bCs/>
                <w:color w:val="auto"/>
                <w:szCs w:val="21"/>
                <w:highlight w:val="none"/>
              </w:rPr>
            </w:pPr>
          </w:p>
        </w:tc>
        <w:tc>
          <w:tcPr>
            <w:tcW w:w="2648"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9E1E659">
            <w:pPr>
              <w:jc w:val="left"/>
              <w:rPr>
                <w:rFonts w:hint="eastAsia" w:ascii="仿宋" w:hAnsi="仿宋" w:eastAsia="仿宋" w:cs="仿宋"/>
                <w:b/>
                <w:bCs/>
                <w:color w:val="auto"/>
                <w:szCs w:val="21"/>
                <w:highlight w:val="none"/>
              </w:rPr>
            </w:pPr>
          </w:p>
        </w:tc>
        <w:tc>
          <w:tcPr>
            <w:tcW w:w="2809" w:type="dxa"/>
            <w:vMerge w:val="continue"/>
            <w:tcBorders>
              <w:top w:val="single" w:color="000000" w:sz="4" w:space="0"/>
              <w:left w:val="single" w:color="000000" w:sz="4" w:space="0"/>
              <w:bottom w:val="single" w:color="000000" w:sz="4" w:space="0"/>
              <w:right w:val="single" w:color="000000" w:sz="4" w:space="0"/>
            </w:tcBorders>
            <w:vAlign w:val="center"/>
          </w:tcPr>
          <w:p w14:paraId="72E4ABB8">
            <w:pPr>
              <w:jc w:val="left"/>
              <w:rPr>
                <w:rFonts w:hint="eastAsia" w:ascii="仿宋" w:hAnsi="仿宋" w:eastAsia="仿宋" w:cs="仿宋"/>
                <w:b/>
                <w:bCs/>
                <w:color w:val="auto"/>
                <w:szCs w:val="21"/>
                <w:highlight w:val="none"/>
              </w:rPr>
            </w:pPr>
          </w:p>
        </w:tc>
        <w:tc>
          <w:tcPr>
            <w:tcW w:w="722" w:type="dxa"/>
            <w:tcBorders>
              <w:top w:val="single" w:color="000000" w:sz="4" w:space="0"/>
              <w:left w:val="single" w:color="000000" w:sz="4" w:space="0"/>
              <w:bottom w:val="single" w:color="000000" w:sz="4" w:space="0"/>
              <w:right w:val="single" w:color="000000" w:sz="4" w:space="0"/>
            </w:tcBorders>
            <w:vAlign w:val="center"/>
          </w:tcPr>
          <w:p w14:paraId="1E7EDE89">
            <w:pPr>
              <w:widowControl/>
              <w:jc w:val="left"/>
              <w:textAlignment w:val="center"/>
              <w:rPr>
                <w:rFonts w:hint="eastAsia" w:ascii="仿宋" w:hAnsi="仿宋" w:eastAsia="仿宋" w:cs="仿宋"/>
                <w:b/>
                <w:bCs/>
                <w:color w:val="auto"/>
                <w:szCs w:val="21"/>
                <w:highlight w:val="none"/>
              </w:rPr>
            </w:pPr>
            <w:r>
              <w:rPr>
                <w:rFonts w:hint="eastAsia" w:ascii="仿宋" w:hAnsi="仿宋" w:eastAsia="仿宋" w:cs="仿宋"/>
                <w:b/>
                <w:bCs/>
                <w:color w:val="auto"/>
                <w:kern w:val="0"/>
                <w:szCs w:val="21"/>
                <w:highlight w:val="none"/>
              </w:rPr>
              <w:t>（0～70分 ）</w:t>
            </w:r>
          </w:p>
        </w:tc>
        <w:tc>
          <w:tcPr>
            <w:tcW w:w="791" w:type="dxa"/>
            <w:tcBorders>
              <w:top w:val="single" w:color="000000" w:sz="4" w:space="0"/>
              <w:left w:val="single" w:color="000000" w:sz="4" w:space="0"/>
              <w:bottom w:val="single" w:color="000000" w:sz="4" w:space="0"/>
              <w:right w:val="single" w:color="000000" w:sz="4" w:space="0"/>
            </w:tcBorders>
            <w:vAlign w:val="center"/>
          </w:tcPr>
          <w:p w14:paraId="222FF229">
            <w:pPr>
              <w:widowControl/>
              <w:jc w:val="left"/>
              <w:textAlignment w:val="center"/>
              <w:rPr>
                <w:rFonts w:hint="eastAsia" w:ascii="仿宋" w:hAnsi="仿宋" w:eastAsia="仿宋" w:cs="仿宋"/>
                <w:b/>
                <w:bCs/>
                <w:color w:val="auto"/>
                <w:szCs w:val="21"/>
                <w:highlight w:val="none"/>
              </w:rPr>
            </w:pPr>
            <w:r>
              <w:rPr>
                <w:rFonts w:hint="eastAsia" w:ascii="仿宋" w:hAnsi="仿宋" w:eastAsia="仿宋" w:cs="仿宋"/>
                <w:b/>
                <w:bCs/>
                <w:color w:val="auto"/>
                <w:kern w:val="0"/>
                <w:szCs w:val="21"/>
                <w:highlight w:val="none"/>
              </w:rPr>
              <w:t>（71～89分）</w:t>
            </w:r>
          </w:p>
        </w:tc>
        <w:tc>
          <w:tcPr>
            <w:tcW w:w="777" w:type="dxa"/>
            <w:tcBorders>
              <w:top w:val="single" w:color="000000" w:sz="4" w:space="0"/>
              <w:left w:val="single" w:color="000000" w:sz="4" w:space="0"/>
              <w:bottom w:val="single" w:color="000000" w:sz="4" w:space="0"/>
              <w:right w:val="single" w:color="000000" w:sz="4" w:space="0"/>
            </w:tcBorders>
            <w:vAlign w:val="center"/>
          </w:tcPr>
          <w:p w14:paraId="3947B90B">
            <w:pPr>
              <w:widowControl/>
              <w:jc w:val="left"/>
              <w:textAlignment w:val="center"/>
              <w:rPr>
                <w:rFonts w:hint="eastAsia" w:ascii="仿宋" w:hAnsi="仿宋" w:eastAsia="仿宋" w:cs="仿宋"/>
                <w:b/>
                <w:bCs/>
                <w:color w:val="auto"/>
                <w:szCs w:val="21"/>
                <w:highlight w:val="none"/>
              </w:rPr>
            </w:pPr>
            <w:r>
              <w:rPr>
                <w:rFonts w:hint="eastAsia" w:ascii="仿宋" w:hAnsi="仿宋" w:eastAsia="仿宋" w:cs="仿宋"/>
                <w:b/>
                <w:bCs/>
                <w:color w:val="auto"/>
                <w:kern w:val="0"/>
                <w:szCs w:val="21"/>
                <w:highlight w:val="none"/>
              </w:rPr>
              <w:t>（90～100分）</w:t>
            </w:r>
          </w:p>
        </w:tc>
      </w:tr>
      <w:tr w14:paraId="3C75E03A">
        <w:trPr>
          <w:trHeight w:val="345" w:hRule="atLeast"/>
          <w:jc w:val="center"/>
        </w:trPr>
        <w:tc>
          <w:tcPr>
            <w:tcW w:w="636" w:type="dxa"/>
            <w:vMerge w:val="restart"/>
            <w:tcBorders>
              <w:top w:val="single" w:color="000000" w:sz="4" w:space="0"/>
              <w:left w:val="single" w:color="000000" w:sz="4" w:space="0"/>
              <w:bottom w:val="single" w:color="000000" w:sz="4" w:space="0"/>
              <w:right w:val="single" w:color="000000" w:sz="4" w:space="0"/>
            </w:tcBorders>
            <w:vAlign w:val="center"/>
          </w:tcPr>
          <w:p w14:paraId="00034152">
            <w:pPr>
              <w:widowControl/>
              <w:jc w:val="left"/>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1</w:t>
            </w:r>
          </w:p>
        </w:tc>
        <w:tc>
          <w:tcPr>
            <w:tcW w:w="1140" w:type="dxa"/>
            <w:vMerge w:val="restart"/>
            <w:tcBorders>
              <w:top w:val="single" w:color="000000" w:sz="4" w:space="0"/>
              <w:left w:val="single" w:color="000000" w:sz="4" w:space="0"/>
              <w:bottom w:val="single" w:color="000000" w:sz="4" w:space="0"/>
              <w:right w:val="single" w:color="000000" w:sz="4" w:space="0"/>
            </w:tcBorders>
            <w:vAlign w:val="center"/>
          </w:tcPr>
          <w:p w14:paraId="07C386F5">
            <w:pPr>
              <w:widowControl/>
              <w:jc w:val="left"/>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需求响应速度</w:t>
            </w:r>
          </w:p>
        </w:tc>
        <w:tc>
          <w:tcPr>
            <w:tcW w:w="2648" w:type="dxa"/>
            <w:gridSpan w:val="2"/>
            <w:tcBorders>
              <w:top w:val="single" w:color="000000" w:sz="4" w:space="0"/>
              <w:left w:val="single" w:color="000000" w:sz="4" w:space="0"/>
              <w:bottom w:val="single" w:color="000000" w:sz="4" w:space="0"/>
              <w:right w:val="single" w:color="000000" w:sz="4" w:space="0"/>
            </w:tcBorders>
            <w:vAlign w:val="center"/>
          </w:tcPr>
          <w:p w14:paraId="19DD3CCD">
            <w:pPr>
              <w:widowControl/>
              <w:jc w:val="left"/>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lang w:eastAsia="zh-CN"/>
              </w:rPr>
              <w:t>服务商</w:t>
            </w:r>
            <w:r>
              <w:rPr>
                <w:rFonts w:hint="eastAsia" w:ascii="仿宋" w:hAnsi="仿宋" w:eastAsia="仿宋" w:cs="仿宋"/>
                <w:color w:val="auto"/>
                <w:kern w:val="0"/>
                <w:szCs w:val="21"/>
                <w:highlight w:val="none"/>
              </w:rPr>
              <w:t>需在采购人正式提交需求后的7个工作日内将需求提交计划反馈采购人。</w:t>
            </w:r>
          </w:p>
        </w:tc>
        <w:tc>
          <w:tcPr>
            <w:tcW w:w="2809" w:type="dxa"/>
            <w:tcBorders>
              <w:top w:val="single" w:color="000000" w:sz="4" w:space="0"/>
              <w:left w:val="single" w:color="000000" w:sz="4" w:space="0"/>
              <w:bottom w:val="single" w:color="000000" w:sz="4" w:space="0"/>
              <w:right w:val="single" w:color="000000" w:sz="4" w:space="0"/>
            </w:tcBorders>
            <w:vAlign w:val="center"/>
          </w:tcPr>
          <w:p w14:paraId="5AE0F5D6">
            <w:pPr>
              <w:widowControl/>
              <w:jc w:val="left"/>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不按时反馈需求提交计划的，每次扣2分。</w:t>
            </w:r>
          </w:p>
        </w:tc>
        <w:tc>
          <w:tcPr>
            <w:tcW w:w="722" w:type="dxa"/>
            <w:vMerge w:val="restart"/>
            <w:tcBorders>
              <w:top w:val="single" w:color="000000" w:sz="4" w:space="0"/>
              <w:left w:val="single" w:color="000000" w:sz="4" w:space="0"/>
              <w:right w:val="single" w:color="000000" w:sz="4" w:space="0"/>
            </w:tcBorders>
            <w:vAlign w:val="center"/>
          </w:tcPr>
          <w:p w14:paraId="498B31B2">
            <w:pPr>
              <w:jc w:val="left"/>
              <w:rPr>
                <w:rFonts w:hint="eastAsia" w:ascii="仿宋" w:hAnsi="仿宋" w:eastAsia="仿宋" w:cs="仿宋"/>
                <w:color w:val="auto"/>
                <w:szCs w:val="21"/>
                <w:highlight w:val="none"/>
              </w:rPr>
            </w:pPr>
          </w:p>
        </w:tc>
        <w:tc>
          <w:tcPr>
            <w:tcW w:w="791" w:type="dxa"/>
            <w:vMerge w:val="restart"/>
            <w:tcBorders>
              <w:top w:val="single" w:color="000000" w:sz="4" w:space="0"/>
              <w:left w:val="single" w:color="000000" w:sz="4" w:space="0"/>
              <w:right w:val="single" w:color="000000" w:sz="4" w:space="0"/>
            </w:tcBorders>
            <w:vAlign w:val="center"/>
          </w:tcPr>
          <w:p w14:paraId="48D98299">
            <w:pPr>
              <w:jc w:val="left"/>
              <w:rPr>
                <w:rFonts w:hint="eastAsia" w:ascii="仿宋" w:hAnsi="仿宋" w:eastAsia="仿宋" w:cs="仿宋"/>
                <w:color w:val="auto"/>
                <w:szCs w:val="21"/>
                <w:highlight w:val="none"/>
              </w:rPr>
            </w:pPr>
          </w:p>
        </w:tc>
        <w:tc>
          <w:tcPr>
            <w:tcW w:w="777" w:type="dxa"/>
            <w:vMerge w:val="restart"/>
            <w:tcBorders>
              <w:top w:val="single" w:color="000000" w:sz="4" w:space="0"/>
              <w:left w:val="single" w:color="000000" w:sz="4" w:space="0"/>
              <w:right w:val="single" w:color="000000" w:sz="4" w:space="0"/>
            </w:tcBorders>
            <w:vAlign w:val="center"/>
          </w:tcPr>
          <w:p w14:paraId="22AA9801">
            <w:pPr>
              <w:jc w:val="left"/>
              <w:rPr>
                <w:rFonts w:hint="eastAsia" w:ascii="仿宋" w:hAnsi="仿宋" w:eastAsia="仿宋" w:cs="仿宋"/>
                <w:color w:val="auto"/>
                <w:szCs w:val="21"/>
                <w:highlight w:val="none"/>
              </w:rPr>
            </w:pPr>
          </w:p>
        </w:tc>
      </w:tr>
      <w:tr w14:paraId="1CEEB4FA">
        <w:tblPrEx>
          <w:tblCellMar>
            <w:top w:w="0" w:type="dxa"/>
            <w:left w:w="108" w:type="dxa"/>
            <w:bottom w:w="0" w:type="dxa"/>
            <w:right w:w="108" w:type="dxa"/>
          </w:tblCellMar>
        </w:tblPrEx>
        <w:trPr>
          <w:trHeight w:val="1035" w:hRule="atLeast"/>
          <w:jc w:val="center"/>
        </w:trPr>
        <w:tc>
          <w:tcPr>
            <w:tcW w:w="636" w:type="dxa"/>
            <w:vMerge w:val="continue"/>
            <w:tcBorders>
              <w:top w:val="single" w:color="000000" w:sz="4" w:space="0"/>
              <w:left w:val="single" w:color="000000" w:sz="4" w:space="0"/>
              <w:bottom w:val="single" w:color="000000" w:sz="4" w:space="0"/>
              <w:right w:val="single" w:color="000000" w:sz="4" w:space="0"/>
            </w:tcBorders>
            <w:vAlign w:val="center"/>
          </w:tcPr>
          <w:p w14:paraId="6A043F19">
            <w:pPr>
              <w:jc w:val="left"/>
              <w:rPr>
                <w:rFonts w:hint="eastAsia" w:ascii="仿宋" w:hAnsi="仿宋" w:eastAsia="仿宋" w:cs="仿宋"/>
                <w:color w:val="auto"/>
                <w:szCs w:val="21"/>
                <w:highlight w:val="none"/>
              </w:rPr>
            </w:pPr>
          </w:p>
        </w:tc>
        <w:tc>
          <w:tcPr>
            <w:tcW w:w="1140" w:type="dxa"/>
            <w:vMerge w:val="continue"/>
            <w:tcBorders>
              <w:top w:val="single" w:color="000000" w:sz="4" w:space="0"/>
              <w:left w:val="single" w:color="000000" w:sz="4" w:space="0"/>
              <w:bottom w:val="single" w:color="000000" w:sz="4" w:space="0"/>
              <w:right w:val="single" w:color="000000" w:sz="4" w:space="0"/>
            </w:tcBorders>
            <w:vAlign w:val="center"/>
          </w:tcPr>
          <w:p w14:paraId="147FCAB9">
            <w:pPr>
              <w:jc w:val="left"/>
              <w:rPr>
                <w:rFonts w:hint="eastAsia" w:ascii="仿宋" w:hAnsi="仿宋" w:eastAsia="仿宋" w:cs="仿宋"/>
                <w:color w:val="auto"/>
                <w:szCs w:val="21"/>
                <w:highlight w:val="none"/>
              </w:rPr>
            </w:pPr>
          </w:p>
        </w:tc>
        <w:tc>
          <w:tcPr>
            <w:tcW w:w="2648" w:type="dxa"/>
            <w:gridSpan w:val="2"/>
            <w:tcBorders>
              <w:top w:val="single" w:color="000000" w:sz="4" w:space="0"/>
              <w:left w:val="single" w:color="000000" w:sz="4" w:space="0"/>
              <w:bottom w:val="single" w:color="000000" w:sz="4" w:space="0"/>
              <w:right w:val="single" w:color="000000" w:sz="4" w:space="0"/>
            </w:tcBorders>
            <w:vAlign w:val="center"/>
          </w:tcPr>
          <w:p w14:paraId="3A80A41E">
            <w:pPr>
              <w:widowControl/>
              <w:jc w:val="left"/>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lang w:eastAsia="zh-CN"/>
              </w:rPr>
              <w:t>服务商</w:t>
            </w:r>
            <w:r>
              <w:rPr>
                <w:rFonts w:hint="eastAsia" w:ascii="仿宋" w:hAnsi="仿宋" w:eastAsia="仿宋" w:cs="仿宋"/>
                <w:color w:val="auto"/>
                <w:kern w:val="0"/>
                <w:szCs w:val="21"/>
                <w:highlight w:val="none"/>
              </w:rPr>
              <w:t>积极加班加点实现采购人的紧急需求（如医保政策调整要求下月初必须上线，而按正常进度又难以排期的，或者如非典突发需求；或者类似医院重大事故导致网站紧急维护。</w:t>
            </w:r>
          </w:p>
        </w:tc>
        <w:tc>
          <w:tcPr>
            <w:tcW w:w="2809" w:type="dxa"/>
            <w:tcBorders>
              <w:top w:val="single" w:color="000000" w:sz="4" w:space="0"/>
              <w:left w:val="single" w:color="000000" w:sz="4" w:space="0"/>
              <w:bottom w:val="single" w:color="000000" w:sz="4" w:space="0"/>
              <w:right w:val="single" w:color="000000" w:sz="4" w:space="0"/>
            </w:tcBorders>
            <w:vAlign w:val="center"/>
          </w:tcPr>
          <w:p w14:paraId="797E552A">
            <w:pPr>
              <w:widowControl/>
              <w:jc w:val="left"/>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经采购人确认后，每次加10分。</w:t>
            </w:r>
          </w:p>
        </w:tc>
        <w:tc>
          <w:tcPr>
            <w:tcW w:w="722" w:type="dxa"/>
            <w:vMerge w:val="continue"/>
            <w:tcBorders>
              <w:left w:val="single" w:color="000000" w:sz="4" w:space="0"/>
              <w:bottom w:val="single" w:color="000000" w:sz="4" w:space="0"/>
              <w:right w:val="single" w:color="000000" w:sz="4" w:space="0"/>
            </w:tcBorders>
            <w:vAlign w:val="center"/>
          </w:tcPr>
          <w:p w14:paraId="5BC07867">
            <w:pPr>
              <w:jc w:val="left"/>
              <w:rPr>
                <w:rFonts w:hint="eastAsia" w:ascii="仿宋" w:hAnsi="仿宋" w:eastAsia="仿宋" w:cs="仿宋"/>
                <w:color w:val="auto"/>
                <w:szCs w:val="21"/>
                <w:highlight w:val="none"/>
              </w:rPr>
            </w:pPr>
          </w:p>
        </w:tc>
        <w:tc>
          <w:tcPr>
            <w:tcW w:w="791" w:type="dxa"/>
            <w:vMerge w:val="continue"/>
            <w:tcBorders>
              <w:left w:val="single" w:color="000000" w:sz="4" w:space="0"/>
              <w:bottom w:val="single" w:color="000000" w:sz="4" w:space="0"/>
              <w:right w:val="single" w:color="000000" w:sz="4" w:space="0"/>
            </w:tcBorders>
            <w:vAlign w:val="center"/>
          </w:tcPr>
          <w:p w14:paraId="1E1A39B6">
            <w:pPr>
              <w:jc w:val="left"/>
              <w:rPr>
                <w:rFonts w:hint="eastAsia" w:ascii="仿宋" w:hAnsi="仿宋" w:eastAsia="仿宋" w:cs="仿宋"/>
                <w:color w:val="auto"/>
                <w:szCs w:val="21"/>
                <w:highlight w:val="none"/>
              </w:rPr>
            </w:pPr>
          </w:p>
        </w:tc>
        <w:tc>
          <w:tcPr>
            <w:tcW w:w="777" w:type="dxa"/>
            <w:vMerge w:val="continue"/>
            <w:tcBorders>
              <w:left w:val="single" w:color="000000" w:sz="4" w:space="0"/>
              <w:bottom w:val="single" w:color="000000" w:sz="4" w:space="0"/>
              <w:right w:val="single" w:color="000000" w:sz="4" w:space="0"/>
            </w:tcBorders>
            <w:vAlign w:val="center"/>
          </w:tcPr>
          <w:p w14:paraId="6E1D5A34">
            <w:pPr>
              <w:jc w:val="left"/>
              <w:rPr>
                <w:rFonts w:hint="eastAsia" w:ascii="仿宋" w:hAnsi="仿宋" w:eastAsia="仿宋" w:cs="仿宋"/>
                <w:color w:val="auto"/>
                <w:szCs w:val="21"/>
                <w:highlight w:val="none"/>
              </w:rPr>
            </w:pPr>
          </w:p>
        </w:tc>
      </w:tr>
      <w:tr w14:paraId="13479C7C">
        <w:tblPrEx>
          <w:tblCellMar>
            <w:top w:w="0" w:type="dxa"/>
            <w:left w:w="108" w:type="dxa"/>
            <w:bottom w:w="0" w:type="dxa"/>
            <w:right w:w="108" w:type="dxa"/>
          </w:tblCellMar>
        </w:tblPrEx>
        <w:trPr>
          <w:trHeight w:val="1380" w:hRule="atLeast"/>
          <w:jc w:val="center"/>
        </w:trPr>
        <w:tc>
          <w:tcPr>
            <w:tcW w:w="636" w:type="dxa"/>
            <w:vMerge w:val="restart"/>
            <w:tcBorders>
              <w:top w:val="single" w:color="000000" w:sz="4" w:space="0"/>
              <w:left w:val="single" w:color="000000" w:sz="4" w:space="0"/>
              <w:bottom w:val="single" w:color="000000" w:sz="4" w:space="0"/>
              <w:right w:val="single" w:color="000000" w:sz="4" w:space="0"/>
            </w:tcBorders>
            <w:vAlign w:val="center"/>
          </w:tcPr>
          <w:p w14:paraId="2DEE80F8">
            <w:pPr>
              <w:widowControl/>
              <w:jc w:val="left"/>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2</w:t>
            </w:r>
          </w:p>
        </w:tc>
        <w:tc>
          <w:tcPr>
            <w:tcW w:w="1140" w:type="dxa"/>
            <w:vMerge w:val="restart"/>
            <w:tcBorders>
              <w:top w:val="single" w:color="000000" w:sz="4" w:space="0"/>
              <w:left w:val="single" w:color="000000" w:sz="4" w:space="0"/>
              <w:bottom w:val="single" w:color="000000" w:sz="4" w:space="0"/>
              <w:right w:val="single" w:color="000000" w:sz="4" w:space="0"/>
            </w:tcBorders>
            <w:vAlign w:val="center"/>
          </w:tcPr>
          <w:p w14:paraId="4C0D508E">
            <w:pPr>
              <w:widowControl/>
              <w:jc w:val="left"/>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需求版本质量</w:t>
            </w:r>
          </w:p>
        </w:tc>
        <w:tc>
          <w:tcPr>
            <w:tcW w:w="2648" w:type="dxa"/>
            <w:gridSpan w:val="2"/>
            <w:tcBorders>
              <w:top w:val="single" w:color="000000" w:sz="4" w:space="0"/>
              <w:left w:val="single" w:color="000000" w:sz="4" w:space="0"/>
              <w:bottom w:val="single" w:color="000000" w:sz="4" w:space="0"/>
              <w:right w:val="single" w:color="000000" w:sz="4" w:space="0"/>
            </w:tcBorders>
            <w:vAlign w:val="center"/>
          </w:tcPr>
          <w:p w14:paraId="0FAE2C30">
            <w:pPr>
              <w:widowControl/>
              <w:jc w:val="left"/>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lang w:eastAsia="zh-CN"/>
              </w:rPr>
              <w:t>服务商</w:t>
            </w:r>
            <w:r>
              <w:rPr>
                <w:rFonts w:hint="eastAsia" w:ascii="仿宋" w:hAnsi="仿宋" w:eastAsia="仿宋" w:cs="仿宋"/>
                <w:color w:val="auto"/>
                <w:kern w:val="0"/>
                <w:szCs w:val="21"/>
                <w:highlight w:val="none"/>
              </w:rPr>
              <w:t>应按照采购人要求（需要说明书）实现系统功能，减少软件缺陷。</w:t>
            </w:r>
          </w:p>
        </w:tc>
        <w:tc>
          <w:tcPr>
            <w:tcW w:w="2809" w:type="dxa"/>
            <w:tcBorders>
              <w:top w:val="single" w:color="000000" w:sz="4" w:space="0"/>
              <w:left w:val="single" w:color="000000" w:sz="4" w:space="0"/>
              <w:bottom w:val="single" w:color="000000" w:sz="4" w:space="0"/>
              <w:right w:val="single" w:color="000000" w:sz="4" w:space="0"/>
            </w:tcBorders>
            <w:vAlign w:val="center"/>
          </w:tcPr>
          <w:p w14:paraId="097618FB">
            <w:pPr>
              <w:widowControl/>
              <w:jc w:val="left"/>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以下情况，每出现一次，扣3分。1、系统未实现需求说明书中的功能。2、系统出现了需求说明书中指明不应该出现的错误。3、系统出现了需求说明书中未提到或未确认的功能。4、软件运行缓慢。</w:t>
            </w:r>
          </w:p>
        </w:tc>
        <w:tc>
          <w:tcPr>
            <w:tcW w:w="722" w:type="dxa"/>
            <w:vMerge w:val="restart"/>
            <w:tcBorders>
              <w:top w:val="single" w:color="000000" w:sz="4" w:space="0"/>
              <w:left w:val="single" w:color="000000" w:sz="4" w:space="0"/>
              <w:bottom w:val="single" w:color="000000" w:sz="4" w:space="0"/>
              <w:right w:val="single" w:color="000000" w:sz="4" w:space="0"/>
            </w:tcBorders>
            <w:vAlign w:val="center"/>
          </w:tcPr>
          <w:p w14:paraId="6A305F3C">
            <w:pPr>
              <w:jc w:val="left"/>
              <w:rPr>
                <w:rFonts w:hint="eastAsia" w:ascii="仿宋" w:hAnsi="仿宋" w:eastAsia="仿宋" w:cs="仿宋"/>
                <w:color w:val="auto"/>
                <w:szCs w:val="21"/>
                <w:highlight w:val="none"/>
              </w:rPr>
            </w:pPr>
          </w:p>
        </w:tc>
        <w:tc>
          <w:tcPr>
            <w:tcW w:w="791" w:type="dxa"/>
            <w:vMerge w:val="restart"/>
            <w:tcBorders>
              <w:top w:val="single" w:color="000000" w:sz="4" w:space="0"/>
              <w:left w:val="single" w:color="000000" w:sz="4" w:space="0"/>
              <w:bottom w:val="single" w:color="000000" w:sz="4" w:space="0"/>
              <w:right w:val="single" w:color="000000" w:sz="4" w:space="0"/>
            </w:tcBorders>
            <w:vAlign w:val="center"/>
          </w:tcPr>
          <w:p w14:paraId="3ABDE693">
            <w:pPr>
              <w:jc w:val="left"/>
              <w:rPr>
                <w:rFonts w:hint="eastAsia" w:ascii="仿宋" w:hAnsi="仿宋" w:eastAsia="仿宋" w:cs="仿宋"/>
                <w:color w:val="auto"/>
                <w:szCs w:val="21"/>
                <w:highlight w:val="none"/>
              </w:rPr>
            </w:pPr>
          </w:p>
        </w:tc>
        <w:tc>
          <w:tcPr>
            <w:tcW w:w="777" w:type="dxa"/>
            <w:vMerge w:val="restart"/>
            <w:tcBorders>
              <w:top w:val="single" w:color="000000" w:sz="4" w:space="0"/>
              <w:left w:val="single" w:color="000000" w:sz="4" w:space="0"/>
              <w:bottom w:val="single" w:color="000000" w:sz="4" w:space="0"/>
              <w:right w:val="single" w:color="000000" w:sz="4" w:space="0"/>
            </w:tcBorders>
            <w:vAlign w:val="center"/>
          </w:tcPr>
          <w:p w14:paraId="01480758">
            <w:pPr>
              <w:jc w:val="left"/>
              <w:rPr>
                <w:rFonts w:hint="eastAsia" w:ascii="仿宋" w:hAnsi="仿宋" w:eastAsia="仿宋" w:cs="仿宋"/>
                <w:color w:val="auto"/>
                <w:szCs w:val="21"/>
                <w:highlight w:val="none"/>
              </w:rPr>
            </w:pPr>
          </w:p>
        </w:tc>
      </w:tr>
      <w:tr w14:paraId="45D7367D">
        <w:tblPrEx>
          <w:tblCellMar>
            <w:top w:w="0" w:type="dxa"/>
            <w:left w:w="108" w:type="dxa"/>
            <w:bottom w:w="0" w:type="dxa"/>
            <w:right w:w="108" w:type="dxa"/>
          </w:tblCellMar>
        </w:tblPrEx>
        <w:trPr>
          <w:trHeight w:val="698" w:hRule="atLeast"/>
          <w:jc w:val="center"/>
        </w:trPr>
        <w:tc>
          <w:tcPr>
            <w:tcW w:w="636" w:type="dxa"/>
            <w:vMerge w:val="continue"/>
            <w:tcBorders>
              <w:top w:val="single" w:color="000000" w:sz="4" w:space="0"/>
              <w:left w:val="single" w:color="000000" w:sz="4" w:space="0"/>
              <w:bottom w:val="single" w:color="000000" w:sz="4" w:space="0"/>
              <w:right w:val="single" w:color="000000" w:sz="4" w:space="0"/>
            </w:tcBorders>
            <w:vAlign w:val="center"/>
          </w:tcPr>
          <w:p w14:paraId="30A053AE">
            <w:pPr>
              <w:jc w:val="left"/>
              <w:rPr>
                <w:rFonts w:hint="eastAsia" w:ascii="仿宋" w:hAnsi="仿宋" w:eastAsia="仿宋" w:cs="仿宋"/>
                <w:color w:val="auto"/>
                <w:szCs w:val="21"/>
                <w:highlight w:val="none"/>
              </w:rPr>
            </w:pPr>
          </w:p>
        </w:tc>
        <w:tc>
          <w:tcPr>
            <w:tcW w:w="1140" w:type="dxa"/>
            <w:vMerge w:val="continue"/>
            <w:tcBorders>
              <w:top w:val="single" w:color="000000" w:sz="4" w:space="0"/>
              <w:left w:val="single" w:color="000000" w:sz="4" w:space="0"/>
              <w:bottom w:val="single" w:color="000000" w:sz="4" w:space="0"/>
              <w:right w:val="single" w:color="000000" w:sz="4" w:space="0"/>
            </w:tcBorders>
            <w:vAlign w:val="center"/>
          </w:tcPr>
          <w:p w14:paraId="3FD0CBAD">
            <w:pPr>
              <w:jc w:val="left"/>
              <w:rPr>
                <w:rFonts w:hint="eastAsia" w:ascii="仿宋" w:hAnsi="仿宋" w:eastAsia="仿宋" w:cs="仿宋"/>
                <w:color w:val="auto"/>
                <w:szCs w:val="21"/>
                <w:highlight w:val="none"/>
              </w:rPr>
            </w:pPr>
          </w:p>
        </w:tc>
        <w:tc>
          <w:tcPr>
            <w:tcW w:w="2648" w:type="dxa"/>
            <w:gridSpan w:val="2"/>
            <w:tcBorders>
              <w:top w:val="single" w:color="000000" w:sz="4" w:space="0"/>
              <w:left w:val="single" w:color="000000" w:sz="4" w:space="0"/>
              <w:bottom w:val="single" w:color="000000" w:sz="4" w:space="0"/>
              <w:right w:val="single" w:color="000000" w:sz="4" w:space="0"/>
            </w:tcBorders>
            <w:vAlign w:val="center"/>
          </w:tcPr>
          <w:p w14:paraId="43ED099F">
            <w:pPr>
              <w:widowControl/>
              <w:jc w:val="left"/>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lang w:eastAsia="zh-CN"/>
              </w:rPr>
              <w:t>服务商</w:t>
            </w:r>
            <w:r>
              <w:rPr>
                <w:rFonts w:hint="eastAsia" w:ascii="仿宋" w:hAnsi="仿宋" w:eastAsia="仿宋" w:cs="仿宋"/>
                <w:color w:val="auto"/>
                <w:kern w:val="0"/>
                <w:szCs w:val="21"/>
                <w:highlight w:val="none"/>
              </w:rPr>
              <w:t>每项需求提交测试环境供采购人项目负责人核对，按季度统计核对结果一次性通过率要求。</w:t>
            </w:r>
          </w:p>
        </w:tc>
        <w:tc>
          <w:tcPr>
            <w:tcW w:w="2809" w:type="dxa"/>
            <w:tcBorders>
              <w:top w:val="single" w:color="000000" w:sz="4" w:space="0"/>
              <w:left w:val="single" w:color="000000" w:sz="4" w:space="0"/>
              <w:bottom w:val="single" w:color="000000" w:sz="4" w:space="0"/>
              <w:right w:val="single" w:color="000000" w:sz="4" w:space="0"/>
            </w:tcBorders>
            <w:vAlign w:val="center"/>
          </w:tcPr>
          <w:p w14:paraId="4B68A725">
            <w:pPr>
              <w:widowControl/>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版本一次性测试通过率要求≥90%</w:t>
            </w:r>
          </w:p>
          <w:p w14:paraId="65A816DE">
            <w:pPr>
              <w:widowControl/>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1、一次性测试通过率</w:t>
            </w:r>
            <w:bookmarkStart w:id="2" w:name="OLE_LINK3"/>
            <w:r>
              <w:rPr>
                <w:rFonts w:hint="eastAsia" w:ascii="仿宋" w:hAnsi="仿宋" w:eastAsia="仿宋" w:cs="仿宋"/>
                <w:color w:val="auto"/>
                <w:kern w:val="0"/>
                <w:szCs w:val="21"/>
                <w:highlight w:val="none"/>
              </w:rPr>
              <w:t>≥</w:t>
            </w:r>
            <w:bookmarkEnd w:id="2"/>
            <w:r>
              <w:rPr>
                <w:rFonts w:hint="eastAsia" w:ascii="仿宋" w:hAnsi="仿宋" w:eastAsia="仿宋" w:cs="仿宋"/>
                <w:color w:val="auto"/>
                <w:kern w:val="0"/>
                <w:szCs w:val="21"/>
                <w:highlight w:val="none"/>
              </w:rPr>
              <w:t>90%的，本项不扣分。</w:t>
            </w:r>
          </w:p>
          <w:p w14:paraId="213237A4">
            <w:pPr>
              <w:widowControl/>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2、</w:t>
            </w:r>
            <w:bookmarkStart w:id="3" w:name="OLE_LINK2"/>
            <w:r>
              <w:rPr>
                <w:rFonts w:hint="eastAsia" w:ascii="仿宋" w:hAnsi="仿宋" w:eastAsia="仿宋" w:cs="仿宋"/>
                <w:color w:val="auto"/>
                <w:kern w:val="0"/>
                <w:szCs w:val="21"/>
                <w:highlight w:val="none"/>
              </w:rPr>
              <w:t>一次性测试通过率</w:t>
            </w:r>
            <w:bookmarkEnd w:id="3"/>
            <w:r>
              <w:rPr>
                <w:rFonts w:hint="eastAsia" w:ascii="仿宋" w:hAnsi="仿宋" w:eastAsia="仿宋" w:cs="仿宋"/>
                <w:color w:val="auto"/>
                <w:kern w:val="0"/>
                <w:szCs w:val="21"/>
                <w:highlight w:val="none"/>
              </w:rPr>
              <w:t>在85%—90（不含）%的，扣4分。</w:t>
            </w:r>
          </w:p>
          <w:p w14:paraId="31029FA5">
            <w:pPr>
              <w:widowControl/>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3、一次性测试通过率在80%—85%（不含）的，扣8分。</w:t>
            </w:r>
          </w:p>
          <w:p w14:paraId="0C8DB85E">
            <w:pPr>
              <w:widowControl/>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4、一次性通过率低于80%（不含）的，扣10分。</w:t>
            </w:r>
          </w:p>
          <w:p w14:paraId="43D2AEF9">
            <w:pPr>
              <w:widowControl/>
              <w:jc w:val="left"/>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如果因用户原因导致不通过的，不纳入此项统计。</w:t>
            </w:r>
          </w:p>
        </w:tc>
        <w:tc>
          <w:tcPr>
            <w:tcW w:w="722" w:type="dxa"/>
            <w:vMerge w:val="continue"/>
            <w:tcBorders>
              <w:top w:val="single" w:color="000000" w:sz="4" w:space="0"/>
              <w:left w:val="single" w:color="000000" w:sz="4" w:space="0"/>
              <w:bottom w:val="single" w:color="000000" w:sz="4" w:space="0"/>
              <w:right w:val="single" w:color="000000" w:sz="4" w:space="0"/>
            </w:tcBorders>
            <w:vAlign w:val="center"/>
          </w:tcPr>
          <w:p w14:paraId="3436CAC6">
            <w:pPr>
              <w:jc w:val="left"/>
              <w:rPr>
                <w:rFonts w:hint="eastAsia" w:ascii="仿宋" w:hAnsi="仿宋" w:eastAsia="仿宋" w:cs="仿宋"/>
                <w:color w:val="auto"/>
                <w:szCs w:val="21"/>
                <w:highlight w:val="none"/>
              </w:rPr>
            </w:pPr>
          </w:p>
        </w:tc>
        <w:tc>
          <w:tcPr>
            <w:tcW w:w="791" w:type="dxa"/>
            <w:vMerge w:val="continue"/>
            <w:tcBorders>
              <w:top w:val="single" w:color="000000" w:sz="4" w:space="0"/>
              <w:left w:val="single" w:color="000000" w:sz="4" w:space="0"/>
              <w:bottom w:val="single" w:color="000000" w:sz="4" w:space="0"/>
              <w:right w:val="single" w:color="000000" w:sz="4" w:space="0"/>
            </w:tcBorders>
            <w:vAlign w:val="center"/>
          </w:tcPr>
          <w:p w14:paraId="10F5F156">
            <w:pPr>
              <w:jc w:val="left"/>
              <w:rPr>
                <w:rFonts w:hint="eastAsia" w:ascii="仿宋" w:hAnsi="仿宋" w:eastAsia="仿宋" w:cs="仿宋"/>
                <w:color w:val="auto"/>
                <w:szCs w:val="21"/>
                <w:highlight w:val="none"/>
              </w:rPr>
            </w:pPr>
          </w:p>
        </w:tc>
        <w:tc>
          <w:tcPr>
            <w:tcW w:w="777" w:type="dxa"/>
            <w:vMerge w:val="continue"/>
            <w:tcBorders>
              <w:top w:val="single" w:color="000000" w:sz="4" w:space="0"/>
              <w:left w:val="single" w:color="000000" w:sz="4" w:space="0"/>
              <w:bottom w:val="single" w:color="000000" w:sz="4" w:space="0"/>
              <w:right w:val="single" w:color="000000" w:sz="4" w:space="0"/>
            </w:tcBorders>
            <w:vAlign w:val="center"/>
          </w:tcPr>
          <w:p w14:paraId="3EA37406">
            <w:pPr>
              <w:jc w:val="left"/>
              <w:rPr>
                <w:rFonts w:hint="eastAsia" w:ascii="仿宋" w:hAnsi="仿宋" w:eastAsia="仿宋" w:cs="仿宋"/>
                <w:color w:val="auto"/>
                <w:szCs w:val="21"/>
                <w:highlight w:val="none"/>
              </w:rPr>
            </w:pPr>
          </w:p>
        </w:tc>
      </w:tr>
      <w:tr w14:paraId="032FB966">
        <w:tblPrEx>
          <w:tblCellMar>
            <w:top w:w="0" w:type="dxa"/>
            <w:left w:w="108" w:type="dxa"/>
            <w:bottom w:w="0" w:type="dxa"/>
            <w:right w:w="108" w:type="dxa"/>
          </w:tblCellMar>
        </w:tblPrEx>
        <w:trPr>
          <w:trHeight w:val="2620" w:hRule="atLeast"/>
          <w:jc w:val="center"/>
        </w:trPr>
        <w:tc>
          <w:tcPr>
            <w:tcW w:w="636" w:type="dxa"/>
            <w:vMerge w:val="restart"/>
            <w:tcBorders>
              <w:top w:val="single" w:color="000000" w:sz="4" w:space="0"/>
              <w:left w:val="single" w:color="000000" w:sz="4" w:space="0"/>
              <w:bottom w:val="single" w:color="000000" w:sz="4" w:space="0"/>
              <w:right w:val="single" w:color="000000" w:sz="4" w:space="0"/>
            </w:tcBorders>
            <w:vAlign w:val="center"/>
          </w:tcPr>
          <w:p w14:paraId="2CD4742B">
            <w:pPr>
              <w:widowControl/>
              <w:jc w:val="left"/>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3</w:t>
            </w:r>
          </w:p>
        </w:tc>
        <w:tc>
          <w:tcPr>
            <w:tcW w:w="1140" w:type="dxa"/>
            <w:vMerge w:val="restart"/>
            <w:tcBorders>
              <w:top w:val="single" w:color="000000" w:sz="4" w:space="0"/>
              <w:left w:val="single" w:color="000000" w:sz="4" w:space="0"/>
              <w:bottom w:val="single" w:color="000000" w:sz="4" w:space="0"/>
              <w:right w:val="single" w:color="000000" w:sz="4" w:space="0"/>
            </w:tcBorders>
            <w:vAlign w:val="center"/>
          </w:tcPr>
          <w:p w14:paraId="7D04183E">
            <w:pPr>
              <w:widowControl/>
              <w:jc w:val="left"/>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重大故障出现次数</w:t>
            </w:r>
          </w:p>
        </w:tc>
        <w:tc>
          <w:tcPr>
            <w:tcW w:w="2648" w:type="dxa"/>
            <w:gridSpan w:val="2"/>
            <w:tcBorders>
              <w:top w:val="single" w:color="000000" w:sz="4" w:space="0"/>
              <w:left w:val="single" w:color="000000" w:sz="4" w:space="0"/>
              <w:bottom w:val="single" w:color="000000" w:sz="4" w:space="0"/>
              <w:right w:val="single" w:color="000000" w:sz="4" w:space="0"/>
            </w:tcBorders>
            <w:vAlign w:val="center"/>
          </w:tcPr>
          <w:p w14:paraId="429B075D">
            <w:pPr>
              <w:widowControl/>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由于</w:t>
            </w:r>
            <w:r>
              <w:rPr>
                <w:rFonts w:hint="eastAsia" w:ascii="仿宋" w:hAnsi="仿宋" w:eastAsia="仿宋" w:cs="仿宋"/>
                <w:color w:val="auto"/>
                <w:kern w:val="0"/>
                <w:szCs w:val="21"/>
                <w:highlight w:val="none"/>
                <w:lang w:eastAsia="zh-CN"/>
              </w:rPr>
              <w:t>服务商</w:t>
            </w:r>
            <w:r>
              <w:rPr>
                <w:rFonts w:hint="eastAsia" w:ascii="仿宋" w:hAnsi="仿宋" w:eastAsia="仿宋" w:cs="仿宋"/>
                <w:color w:val="auto"/>
                <w:kern w:val="0"/>
                <w:szCs w:val="21"/>
                <w:highlight w:val="none"/>
              </w:rPr>
              <w:t>故障（非采购人责任）造成的以下重大IT系统事故的：</w:t>
            </w:r>
          </w:p>
          <w:p w14:paraId="25714AA4">
            <w:pPr>
              <w:widowControl/>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1、核心系统（门诊挂号、缴费、医保等）无法正常运行导致对外业务和服务不能开展，影响营业持续时间超过1小时。</w:t>
            </w:r>
          </w:p>
          <w:p w14:paraId="225913C2">
            <w:pPr>
              <w:widowControl/>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2、非核心系统无法正常运行导致服务不能开展，影响工作持续时间超过8小时。</w:t>
            </w:r>
          </w:p>
          <w:p w14:paraId="37A3B2F1">
            <w:pPr>
              <w:widowControl/>
              <w:jc w:val="left"/>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3、核心系统生产类数据丢失、无法恢复造成医院损失。</w:t>
            </w:r>
          </w:p>
        </w:tc>
        <w:tc>
          <w:tcPr>
            <w:tcW w:w="2809" w:type="dxa"/>
            <w:tcBorders>
              <w:top w:val="single" w:color="000000" w:sz="4" w:space="0"/>
              <w:left w:val="single" w:color="000000" w:sz="4" w:space="0"/>
              <w:bottom w:val="single" w:color="000000" w:sz="4" w:space="0"/>
              <w:right w:val="single" w:color="000000" w:sz="4" w:space="0"/>
            </w:tcBorders>
            <w:vAlign w:val="center"/>
          </w:tcPr>
          <w:p w14:paraId="66D5270E">
            <w:pPr>
              <w:widowControl/>
              <w:jc w:val="left"/>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每发生一次，扣15分。</w:t>
            </w:r>
          </w:p>
        </w:tc>
        <w:tc>
          <w:tcPr>
            <w:tcW w:w="722" w:type="dxa"/>
            <w:vMerge w:val="restart"/>
            <w:tcBorders>
              <w:top w:val="single" w:color="000000" w:sz="4" w:space="0"/>
              <w:left w:val="single" w:color="000000" w:sz="4" w:space="0"/>
              <w:right w:val="single" w:color="000000" w:sz="4" w:space="0"/>
            </w:tcBorders>
            <w:vAlign w:val="center"/>
          </w:tcPr>
          <w:p w14:paraId="2DD5A110">
            <w:pPr>
              <w:jc w:val="left"/>
              <w:rPr>
                <w:rFonts w:hint="eastAsia" w:ascii="仿宋" w:hAnsi="仿宋" w:eastAsia="仿宋" w:cs="仿宋"/>
                <w:color w:val="auto"/>
                <w:szCs w:val="21"/>
                <w:highlight w:val="none"/>
              </w:rPr>
            </w:pPr>
          </w:p>
        </w:tc>
        <w:tc>
          <w:tcPr>
            <w:tcW w:w="791" w:type="dxa"/>
            <w:vMerge w:val="restart"/>
            <w:tcBorders>
              <w:top w:val="single" w:color="000000" w:sz="4" w:space="0"/>
              <w:left w:val="single" w:color="000000" w:sz="4" w:space="0"/>
              <w:right w:val="single" w:color="000000" w:sz="4" w:space="0"/>
            </w:tcBorders>
            <w:vAlign w:val="center"/>
          </w:tcPr>
          <w:p w14:paraId="489213C5">
            <w:pPr>
              <w:jc w:val="left"/>
              <w:rPr>
                <w:rFonts w:hint="eastAsia" w:ascii="仿宋" w:hAnsi="仿宋" w:eastAsia="仿宋" w:cs="仿宋"/>
                <w:color w:val="auto"/>
                <w:szCs w:val="21"/>
                <w:highlight w:val="none"/>
              </w:rPr>
            </w:pPr>
          </w:p>
        </w:tc>
        <w:tc>
          <w:tcPr>
            <w:tcW w:w="777" w:type="dxa"/>
            <w:vMerge w:val="restart"/>
            <w:tcBorders>
              <w:top w:val="single" w:color="000000" w:sz="4" w:space="0"/>
              <w:left w:val="single" w:color="000000" w:sz="4" w:space="0"/>
              <w:right w:val="single" w:color="000000" w:sz="4" w:space="0"/>
            </w:tcBorders>
            <w:vAlign w:val="center"/>
          </w:tcPr>
          <w:p w14:paraId="72268E93">
            <w:pPr>
              <w:jc w:val="left"/>
              <w:rPr>
                <w:rFonts w:hint="eastAsia" w:ascii="仿宋" w:hAnsi="仿宋" w:eastAsia="仿宋" w:cs="仿宋"/>
                <w:color w:val="auto"/>
                <w:szCs w:val="21"/>
                <w:highlight w:val="none"/>
              </w:rPr>
            </w:pPr>
          </w:p>
          <w:p w14:paraId="576A3B90">
            <w:pPr>
              <w:jc w:val="left"/>
              <w:rPr>
                <w:rFonts w:hint="eastAsia" w:ascii="仿宋" w:hAnsi="仿宋" w:eastAsia="仿宋" w:cs="仿宋"/>
                <w:color w:val="auto"/>
                <w:szCs w:val="21"/>
                <w:highlight w:val="none"/>
              </w:rPr>
            </w:pPr>
          </w:p>
        </w:tc>
      </w:tr>
      <w:tr w14:paraId="67D41A9F">
        <w:trPr>
          <w:trHeight w:val="345" w:hRule="atLeast"/>
          <w:jc w:val="center"/>
        </w:trPr>
        <w:tc>
          <w:tcPr>
            <w:tcW w:w="636" w:type="dxa"/>
            <w:vMerge w:val="continue"/>
            <w:tcBorders>
              <w:top w:val="single" w:color="000000" w:sz="4" w:space="0"/>
              <w:left w:val="single" w:color="000000" w:sz="4" w:space="0"/>
              <w:bottom w:val="single" w:color="000000" w:sz="4" w:space="0"/>
              <w:right w:val="single" w:color="000000" w:sz="4" w:space="0"/>
            </w:tcBorders>
            <w:vAlign w:val="center"/>
          </w:tcPr>
          <w:p w14:paraId="1620C5A9">
            <w:pPr>
              <w:jc w:val="left"/>
              <w:rPr>
                <w:rFonts w:hint="eastAsia" w:ascii="仿宋" w:hAnsi="仿宋" w:eastAsia="仿宋" w:cs="仿宋"/>
                <w:color w:val="auto"/>
                <w:szCs w:val="21"/>
                <w:highlight w:val="none"/>
              </w:rPr>
            </w:pPr>
          </w:p>
        </w:tc>
        <w:tc>
          <w:tcPr>
            <w:tcW w:w="1140" w:type="dxa"/>
            <w:vMerge w:val="continue"/>
            <w:tcBorders>
              <w:top w:val="single" w:color="000000" w:sz="4" w:space="0"/>
              <w:left w:val="single" w:color="000000" w:sz="4" w:space="0"/>
              <w:bottom w:val="single" w:color="000000" w:sz="4" w:space="0"/>
              <w:right w:val="single" w:color="000000" w:sz="4" w:space="0"/>
            </w:tcBorders>
            <w:vAlign w:val="center"/>
          </w:tcPr>
          <w:p w14:paraId="6EEFD2A6">
            <w:pPr>
              <w:jc w:val="left"/>
              <w:rPr>
                <w:rFonts w:hint="eastAsia" w:ascii="仿宋" w:hAnsi="仿宋" w:eastAsia="仿宋" w:cs="仿宋"/>
                <w:color w:val="auto"/>
                <w:szCs w:val="21"/>
                <w:highlight w:val="none"/>
              </w:rPr>
            </w:pPr>
          </w:p>
        </w:tc>
        <w:tc>
          <w:tcPr>
            <w:tcW w:w="2648" w:type="dxa"/>
            <w:gridSpan w:val="2"/>
            <w:tcBorders>
              <w:top w:val="single" w:color="000000" w:sz="4" w:space="0"/>
              <w:left w:val="single" w:color="000000" w:sz="4" w:space="0"/>
              <w:bottom w:val="single" w:color="000000" w:sz="4" w:space="0"/>
              <w:right w:val="single" w:color="000000" w:sz="4" w:space="0"/>
            </w:tcBorders>
            <w:vAlign w:val="center"/>
          </w:tcPr>
          <w:p w14:paraId="618EED20">
            <w:pPr>
              <w:widowControl/>
              <w:jc w:val="left"/>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由于</w:t>
            </w:r>
            <w:r>
              <w:rPr>
                <w:rFonts w:hint="eastAsia" w:ascii="仿宋" w:hAnsi="仿宋" w:eastAsia="仿宋" w:cs="仿宋"/>
                <w:color w:val="auto"/>
                <w:kern w:val="0"/>
                <w:szCs w:val="21"/>
                <w:highlight w:val="none"/>
                <w:lang w:eastAsia="zh-CN"/>
              </w:rPr>
              <w:t>服务商</w:t>
            </w:r>
            <w:r>
              <w:rPr>
                <w:rFonts w:hint="eastAsia" w:ascii="仿宋" w:hAnsi="仿宋" w:eastAsia="仿宋" w:cs="仿宋"/>
                <w:color w:val="auto"/>
                <w:kern w:val="0"/>
                <w:szCs w:val="21"/>
                <w:highlight w:val="none"/>
              </w:rPr>
              <w:t>系统问题及运维失误引发安全事故的。</w:t>
            </w:r>
          </w:p>
        </w:tc>
        <w:tc>
          <w:tcPr>
            <w:tcW w:w="2809" w:type="dxa"/>
            <w:tcBorders>
              <w:top w:val="single" w:color="000000" w:sz="4" w:space="0"/>
              <w:left w:val="single" w:color="000000" w:sz="4" w:space="0"/>
              <w:bottom w:val="single" w:color="000000" w:sz="4" w:space="0"/>
              <w:right w:val="single" w:color="000000" w:sz="4" w:space="0"/>
            </w:tcBorders>
            <w:vAlign w:val="center"/>
          </w:tcPr>
          <w:p w14:paraId="2B5FDDF5">
            <w:pPr>
              <w:widowControl/>
              <w:jc w:val="left"/>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每发生一次，扣10分。</w:t>
            </w:r>
          </w:p>
        </w:tc>
        <w:tc>
          <w:tcPr>
            <w:tcW w:w="722" w:type="dxa"/>
            <w:vMerge w:val="continue"/>
            <w:tcBorders>
              <w:left w:val="single" w:color="000000" w:sz="4" w:space="0"/>
              <w:bottom w:val="single" w:color="000000" w:sz="4" w:space="0"/>
              <w:right w:val="single" w:color="000000" w:sz="4" w:space="0"/>
            </w:tcBorders>
            <w:vAlign w:val="center"/>
          </w:tcPr>
          <w:p w14:paraId="616A58CE">
            <w:pPr>
              <w:jc w:val="left"/>
              <w:rPr>
                <w:rFonts w:hint="eastAsia" w:ascii="仿宋" w:hAnsi="仿宋" w:eastAsia="仿宋" w:cs="仿宋"/>
                <w:color w:val="auto"/>
                <w:szCs w:val="21"/>
                <w:highlight w:val="none"/>
              </w:rPr>
            </w:pPr>
          </w:p>
        </w:tc>
        <w:tc>
          <w:tcPr>
            <w:tcW w:w="791" w:type="dxa"/>
            <w:vMerge w:val="continue"/>
            <w:tcBorders>
              <w:left w:val="single" w:color="000000" w:sz="4" w:space="0"/>
              <w:bottom w:val="single" w:color="000000" w:sz="4" w:space="0"/>
              <w:right w:val="single" w:color="000000" w:sz="4" w:space="0"/>
            </w:tcBorders>
            <w:vAlign w:val="center"/>
          </w:tcPr>
          <w:p w14:paraId="60C25303">
            <w:pPr>
              <w:jc w:val="left"/>
              <w:rPr>
                <w:rFonts w:hint="eastAsia" w:ascii="仿宋" w:hAnsi="仿宋" w:eastAsia="仿宋" w:cs="仿宋"/>
                <w:color w:val="auto"/>
                <w:szCs w:val="21"/>
                <w:highlight w:val="none"/>
              </w:rPr>
            </w:pPr>
          </w:p>
        </w:tc>
        <w:tc>
          <w:tcPr>
            <w:tcW w:w="777" w:type="dxa"/>
            <w:vMerge w:val="continue"/>
            <w:tcBorders>
              <w:left w:val="single" w:color="000000" w:sz="4" w:space="0"/>
              <w:bottom w:val="single" w:color="000000" w:sz="4" w:space="0"/>
              <w:right w:val="single" w:color="000000" w:sz="4" w:space="0"/>
            </w:tcBorders>
            <w:vAlign w:val="center"/>
          </w:tcPr>
          <w:p w14:paraId="43CAE4C0">
            <w:pPr>
              <w:jc w:val="left"/>
              <w:rPr>
                <w:rFonts w:hint="eastAsia" w:ascii="仿宋" w:hAnsi="仿宋" w:eastAsia="仿宋" w:cs="仿宋"/>
                <w:color w:val="auto"/>
                <w:szCs w:val="21"/>
                <w:highlight w:val="none"/>
              </w:rPr>
            </w:pPr>
          </w:p>
        </w:tc>
      </w:tr>
      <w:tr w14:paraId="4EF39901">
        <w:trPr>
          <w:trHeight w:val="270" w:hRule="atLeast"/>
          <w:jc w:val="center"/>
        </w:trPr>
        <w:tc>
          <w:tcPr>
            <w:tcW w:w="636" w:type="dxa"/>
            <w:vMerge w:val="restart"/>
            <w:tcBorders>
              <w:top w:val="single" w:color="000000" w:sz="4" w:space="0"/>
              <w:left w:val="single" w:color="000000" w:sz="4" w:space="0"/>
              <w:bottom w:val="single" w:color="000000" w:sz="4" w:space="0"/>
              <w:right w:val="single" w:color="000000" w:sz="4" w:space="0"/>
            </w:tcBorders>
            <w:vAlign w:val="center"/>
          </w:tcPr>
          <w:p w14:paraId="6C498378">
            <w:pPr>
              <w:widowControl/>
              <w:jc w:val="center"/>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4</w:t>
            </w:r>
          </w:p>
        </w:tc>
        <w:tc>
          <w:tcPr>
            <w:tcW w:w="1140" w:type="dxa"/>
            <w:vMerge w:val="restart"/>
            <w:tcBorders>
              <w:top w:val="single" w:color="000000" w:sz="4" w:space="0"/>
              <w:left w:val="single" w:color="000000" w:sz="4" w:space="0"/>
              <w:bottom w:val="single" w:color="000000" w:sz="4" w:space="0"/>
              <w:right w:val="single" w:color="000000" w:sz="4" w:space="0"/>
            </w:tcBorders>
            <w:vAlign w:val="center"/>
          </w:tcPr>
          <w:p w14:paraId="66E959F9">
            <w:pPr>
              <w:widowControl/>
              <w:jc w:val="left"/>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重大故障处理情况</w:t>
            </w:r>
          </w:p>
        </w:tc>
        <w:tc>
          <w:tcPr>
            <w:tcW w:w="2648" w:type="dxa"/>
            <w:gridSpan w:val="2"/>
            <w:tcBorders>
              <w:top w:val="single" w:color="000000" w:sz="4" w:space="0"/>
              <w:left w:val="single" w:color="000000" w:sz="4" w:space="0"/>
              <w:bottom w:val="single" w:color="000000" w:sz="4" w:space="0"/>
              <w:right w:val="single" w:color="000000" w:sz="4" w:space="0"/>
            </w:tcBorders>
            <w:vAlign w:val="center"/>
          </w:tcPr>
          <w:p w14:paraId="23ED8264">
            <w:pPr>
              <w:widowControl/>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eastAsia="zh-CN"/>
              </w:rPr>
              <w:t>服务商</w:t>
            </w:r>
            <w:r>
              <w:rPr>
                <w:rFonts w:hint="eastAsia" w:ascii="仿宋" w:hAnsi="仿宋" w:eastAsia="仿宋" w:cs="仿宋"/>
                <w:color w:val="auto"/>
                <w:kern w:val="0"/>
                <w:szCs w:val="21"/>
                <w:highlight w:val="none"/>
              </w:rPr>
              <w:t>需与采购人共同定义故障级别、并按以下处理时间要求处理：</w:t>
            </w:r>
          </w:p>
          <w:p w14:paraId="0952E414">
            <w:pPr>
              <w:widowControl/>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1、重大故障：严重影响正常业务运行，或业务中断，需在1小时内处理完成。</w:t>
            </w:r>
          </w:p>
          <w:p w14:paraId="6786A33B">
            <w:pPr>
              <w:widowControl/>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2、中等故障：影响正常业务运行，但通过其他方式可折中处理，需在12小时内处理完成。</w:t>
            </w:r>
          </w:p>
          <w:p w14:paraId="3D5432FE">
            <w:pPr>
              <w:widowControl/>
              <w:jc w:val="left"/>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3、轻微故障：对正常业务无影响，但妨碍业务运行及操作，需在24小时内处理完成。</w:t>
            </w:r>
          </w:p>
        </w:tc>
        <w:tc>
          <w:tcPr>
            <w:tcW w:w="2809" w:type="dxa"/>
            <w:tcBorders>
              <w:top w:val="single" w:color="000000" w:sz="4" w:space="0"/>
              <w:left w:val="single" w:color="000000" w:sz="4" w:space="0"/>
              <w:bottom w:val="single" w:color="000000" w:sz="4" w:space="0"/>
              <w:right w:val="single" w:color="000000" w:sz="4" w:space="0"/>
            </w:tcBorders>
            <w:vAlign w:val="center"/>
          </w:tcPr>
          <w:p w14:paraId="703D2A08">
            <w:pPr>
              <w:widowControl/>
              <w:jc w:val="left"/>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针对不同级别故障处理恢复需在约定的时间内，如超出1次，扣5分</w:t>
            </w:r>
          </w:p>
        </w:tc>
        <w:tc>
          <w:tcPr>
            <w:tcW w:w="722" w:type="dxa"/>
            <w:vMerge w:val="restart"/>
            <w:tcBorders>
              <w:top w:val="single" w:color="000000" w:sz="4" w:space="0"/>
              <w:left w:val="single" w:color="000000" w:sz="4" w:space="0"/>
              <w:right w:val="single" w:color="000000" w:sz="4" w:space="0"/>
            </w:tcBorders>
            <w:vAlign w:val="center"/>
          </w:tcPr>
          <w:p w14:paraId="1A526A5C">
            <w:pPr>
              <w:jc w:val="left"/>
              <w:rPr>
                <w:rFonts w:hint="eastAsia" w:ascii="仿宋" w:hAnsi="仿宋" w:eastAsia="仿宋" w:cs="仿宋"/>
                <w:color w:val="auto"/>
                <w:szCs w:val="21"/>
                <w:highlight w:val="none"/>
              </w:rPr>
            </w:pPr>
          </w:p>
        </w:tc>
        <w:tc>
          <w:tcPr>
            <w:tcW w:w="791" w:type="dxa"/>
            <w:vMerge w:val="restart"/>
            <w:tcBorders>
              <w:top w:val="single" w:color="000000" w:sz="4" w:space="0"/>
              <w:left w:val="single" w:color="000000" w:sz="4" w:space="0"/>
              <w:right w:val="single" w:color="000000" w:sz="4" w:space="0"/>
            </w:tcBorders>
            <w:vAlign w:val="center"/>
          </w:tcPr>
          <w:p w14:paraId="5065BD75">
            <w:pPr>
              <w:jc w:val="left"/>
              <w:rPr>
                <w:rFonts w:hint="eastAsia" w:ascii="仿宋" w:hAnsi="仿宋" w:eastAsia="仿宋" w:cs="仿宋"/>
                <w:color w:val="auto"/>
                <w:szCs w:val="21"/>
                <w:highlight w:val="none"/>
              </w:rPr>
            </w:pPr>
          </w:p>
        </w:tc>
        <w:tc>
          <w:tcPr>
            <w:tcW w:w="777" w:type="dxa"/>
            <w:vMerge w:val="restart"/>
            <w:tcBorders>
              <w:top w:val="single" w:color="000000" w:sz="4" w:space="0"/>
              <w:left w:val="single" w:color="000000" w:sz="4" w:space="0"/>
              <w:right w:val="single" w:color="000000" w:sz="4" w:space="0"/>
            </w:tcBorders>
            <w:vAlign w:val="center"/>
          </w:tcPr>
          <w:p w14:paraId="42B80BF7">
            <w:pPr>
              <w:jc w:val="left"/>
              <w:rPr>
                <w:rFonts w:hint="eastAsia" w:ascii="仿宋" w:hAnsi="仿宋" w:eastAsia="仿宋" w:cs="仿宋"/>
                <w:color w:val="auto"/>
                <w:szCs w:val="21"/>
                <w:highlight w:val="none"/>
              </w:rPr>
            </w:pPr>
          </w:p>
        </w:tc>
      </w:tr>
      <w:tr w14:paraId="2A273C5C">
        <w:trPr>
          <w:trHeight w:val="1035" w:hRule="atLeast"/>
          <w:jc w:val="center"/>
        </w:trPr>
        <w:tc>
          <w:tcPr>
            <w:tcW w:w="636" w:type="dxa"/>
            <w:vMerge w:val="continue"/>
            <w:tcBorders>
              <w:top w:val="single" w:color="000000" w:sz="4" w:space="0"/>
              <w:left w:val="single" w:color="000000" w:sz="4" w:space="0"/>
              <w:bottom w:val="single" w:color="000000" w:sz="4" w:space="0"/>
              <w:right w:val="single" w:color="000000" w:sz="4" w:space="0"/>
            </w:tcBorders>
            <w:vAlign w:val="center"/>
          </w:tcPr>
          <w:p w14:paraId="3BC4BA81">
            <w:pPr>
              <w:jc w:val="center"/>
              <w:rPr>
                <w:rFonts w:hint="eastAsia" w:ascii="仿宋" w:hAnsi="仿宋" w:eastAsia="仿宋" w:cs="仿宋"/>
                <w:color w:val="auto"/>
                <w:szCs w:val="21"/>
                <w:highlight w:val="none"/>
              </w:rPr>
            </w:pPr>
          </w:p>
        </w:tc>
        <w:tc>
          <w:tcPr>
            <w:tcW w:w="1140" w:type="dxa"/>
            <w:vMerge w:val="continue"/>
            <w:tcBorders>
              <w:top w:val="single" w:color="000000" w:sz="4" w:space="0"/>
              <w:left w:val="single" w:color="000000" w:sz="4" w:space="0"/>
              <w:bottom w:val="single" w:color="000000" w:sz="4" w:space="0"/>
              <w:right w:val="single" w:color="000000" w:sz="4" w:space="0"/>
            </w:tcBorders>
            <w:vAlign w:val="center"/>
          </w:tcPr>
          <w:p w14:paraId="201198B8">
            <w:pPr>
              <w:jc w:val="left"/>
              <w:rPr>
                <w:rFonts w:hint="eastAsia" w:ascii="仿宋" w:hAnsi="仿宋" w:eastAsia="仿宋" w:cs="仿宋"/>
                <w:color w:val="auto"/>
                <w:szCs w:val="21"/>
                <w:highlight w:val="none"/>
              </w:rPr>
            </w:pPr>
          </w:p>
        </w:tc>
        <w:tc>
          <w:tcPr>
            <w:tcW w:w="2648" w:type="dxa"/>
            <w:gridSpan w:val="2"/>
            <w:tcBorders>
              <w:top w:val="single" w:color="000000" w:sz="4" w:space="0"/>
              <w:left w:val="single" w:color="000000" w:sz="4" w:space="0"/>
              <w:bottom w:val="single" w:color="000000" w:sz="4" w:space="0"/>
              <w:right w:val="single" w:color="000000" w:sz="4" w:space="0"/>
            </w:tcBorders>
            <w:vAlign w:val="center"/>
          </w:tcPr>
          <w:p w14:paraId="44EF330B">
            <w:pPr>
              <w:widowControl/>
              <w:jc w:val="left"/>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lang w:eastAsia="zh-CN"/>
              </w:rPr>
              <w:t>服务商</w:t>
            </w:r>
            <w:r>
              <w:rPr>
                <w:rFonts w:hint="eastAsia" w:ascii="仿宋" w:hAnsi="仿宋" w:eastAsia="仿宋" w:cs="仿宋"/>
                <w:color w:val="auto"/>
                <w:kern w:val="0"/>
                <w:szCs w:val="21"/>
                <w:highlight w:val="none"/>
              </w:rPr>
              <w:t>需向采购人提供故障处理知识库，而且在知识库基础上需定期每季度将每次故障发生原因、解决方案、后续规避方案均需记录到文档或上传到知识库。</w:t>
            </w:r>
          </w:p>
        </w:tc>
        <w:tc>
          <w:tcPr>
            <w:tcW w:w="2809" w:type="dxa"/>
            <w:tcBorders>
              <w:top w:val="single" w:color="000000" w:sz="4" w:space="0"/>
              <w:left w:val="single" w:color="000000" w:sz="4" w:space="0"/>
              <w:bottom w:val="single" w:color="000000" w:sz="4" w:space="0"/>
              <w:right w:val="single" w:color="000000" w:sz="4" w:space="0"/>
            </w:tcBorders>
            <w:vAlign w:val="center"/>
          </w:tcPr>
          <w:p w14:paraId="141B1A3D">
            <w:pPr>
              <w:widowControl/>
              <w:jc w:val="left"/>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lang w:eastAsia="zh-CN"/>
              </w:rPr>
              <w:t>服务商</w:t>
            </w:r>
            <w:r>
              <w:rPr>
                <w:rFonts w:hint="eastAsia" w:ascii="仿宋" w:hAnsi="仿宋" w:eastAsia="仿宋" w:cs="仿宋"/>
                <w:color w:val="auto"/>
                <w:kern w:val="0"/>
                <w:szCs w:val="21"/>
                <w:highlight w:val="none"/>
              </w:rPr>
              <w:t>不能提供知识库或知识库不按季度更新的，扣3分。</w:t>
            </w:r>
          </w:p>
        </w:tc>
        <w:tc>
          <w:tcPr>
            <w:tcW w:w="722" w:type="dxa"/>
            <w:vMerge w:val="continue"/>
            <w:tcBorders>
              <w:left w:val="single" w:color="000000" w:sz="4" w:space="0"/>
              <w:right w:val="single" w:color="000000" w:sz="4" w:space="0"/>
            </w:tcBorders>
            <w:vAlign w:val="center"/>
          </w:tcPr>
          <w:p w14:paraId="3137EDA2">
            <w:pPr>
              <w:jc w:val="left"/>
              <w:rPr>
                <w:rFonts w:hint="eastAsia" w:ascii="仿宋" w:hAnsi="仿宋" w:eastAsia="仿宋" w:cs="仿宋"/>
                <w:color w:val="auto"/>
                <w:szCs w:val="21"/>
                <w:highlight w:val="none"/>
              </w:rPr>
            </w:pPr>
          </w:p>
        </w:tc>
        <w:tc>
          <w:tcPr>
            <w:tcW w:w="791" w:type="dxa"/>
            <w:vMerge w:val="continue"/>
            <w:tcBorders>
              <w:left w:val="single" w:color="000000" w:sz="4" w:space="0"/>
              <w:right w:val="single" w:color="000000" w:sz="4" w:space="0"/>
            </w:tcBorders>
            <w:vAlign w:val="center"/>
          </w:tcPr>
          <w:p w14:paraId="514A82EF">
            <w:pPr>
              <w:jc w:val="left"/>
              <w:rPr>
                <w:rFonts w:hint="eastAsia" w:ascii="仿宋" w:hAnsi="仿宋" w:eastAsia="仿宋" w:cs="仿宋"/>
                <w:color w:val="auto"/>
                <w:szCs w:val="21"/>
                <w:highlight w:val="none"/>
              </w:rPr>
            </w:pPr>
          </w:p>
        </w:tc>
        <w:tc>
          <w:tcPr>
            <w:tcW w:w="777" w:type="dxa"/>
            <w:vMerge w:val="continue"/>
            <w:tcBorders>
              <w:left w:val="single" w:color="000000" w:sz="4" w:space="0"/>
              <w:right w:val="single" w:color="000000" w:sz="4" w:space="0"/>
            </w:tcBorders>
            <w:vAlign w:val="center"/>
          </w:tcPr>
          <w:p w14:paraId="2A2E152A">
            <w:pPr>
              <w:jc w:val="left"/>
              <w:rPr>
                <w:rFonts w:hint="eastAsia" w:ascii="仿宋" w:hAnsi="仿宋" w:eastAsia="仿宋" w:cs="仿宋"/>
                <w:color w:val="auto"/>
                <w:szCs w:val="21"/>
                <w:highlight w:val="none"/>
              </w:rPr>
            </w:pPr>
          </w:p>
        </w:tc>
      </w:tr>
      <w:tr w14:paraId="199FDE71">
        <w:tblPrEx>
          <w:tblCellMar>
            <w:top w:w="0" w:type="dxa"/>
            <w:left w:w="108" w:type="dxa"/>
            <w:bottom w:w="0" w:type="dxa"/>
            <w:right w:w="108" w:type="dxa"/>
          </w:tblCellMar>
        </w:tblPrEx>
        <w:trPr>
          <w:trHeight w:val="270" w:hRule="atLeast"/>
          <w:jc w:val="center"/>
        </w:trPr>
        <w:tc>
          <w:tcPr>
            <w:tcW w:w="636" w:type="dxa"/>
            <w:vMerge w:val="continue"/>
            <w:tcBorders>
              <w:top w:val="single" w:color="000000" w:sz="4" w:space="0"/>
              <w:left w:val="single" w:color="000000" w:sz="4" w:space="0"/>
              <w:bottom w:val="single" w:color="000000" w:sz="4" w:space="0"/>
              <w:right w:val="single" w:color="000000" w:sz="4" w:space="0"/>
            </w:tcBorders>
            <w:vAlign w:val="center"/>
          </w:tcPr>
          <w:p w14:paraId="35536F2E">
            <w:pPr>
              <w:jc w:val="center"/>
              <w:rPr>
                <w:rFonts w:hint="eastAsia" w:ascii="仿宋" w:hAnsi="仿宋" w:eastAsia="仿宋" w:cs="仿宋"/>
                <w:color w:val="auto"/>
                <w:szCs w:val="21"/>
                <w:highlight w:val="none"/>
              </w:rPr>
            </w:pPr>
          </w:p>
        </w:tc>
        <w:tc>
          <w:tcPr>
            <w:tcW w:w="1140" w:type="dxa"/>
            <w:vMerge w:val="continue"/>
            <w:tcBorders>
              <w:top w:val="single" w:color="000000" w:sz="4" w:space="0"/>
              <w:left w:val="single" w:color="000000" w:sz="4" w:space="0"/>
              <w:bottom w:val="single" w:color="000000" w:sz="4" w:space="0"/>
              <w:right w:val="single" w:color="000000" w:sz="4" w:space="0"/>
            </w:tcBorders>
            <w:vAlign w:val="center"/>
          </w:tcPr>
          <w:p w14:paraId="6D81831E">
            <w:pPr>
              <w:jc w:val="left"/>
              <w:rPr>
                <w:rFonts w:hint="eastAsia" w:ascii="仿宋" w:hAnsi="仿宋" w:eastAsia="仿宋" w:cs="仿宋"/>
                <w:color w:val="auto"/>
                <w:szCs w:val="21"/>
                <w:highlight w:val="none"/>
              </w:rPr>
            </w:pPr>
          </w:p>
        </w:tc>
        <w:tc>
          <w:tcPr>
            <w:tcW w:w="2648" w:type="dxa"/>
            <w:gridSpan w:val="2"/>
            <w:tcBorders>
              <w:top w:val="single" w:color="000000" w:sz="4" w:space="0"/>
              <w:left w:val="single" w:color="000000" w:sz="4" w:space="0"/>
              <w:bottom w:val="single" w:color="000000" w:sz="4" w:space="0"/>
              <w:right w:val="single" w:color="000000" w:sz="4" w:space="0"/>
            </w:tcBorders>
            <w:vAlign w:val="center"/>
          </w:tcPr>
          <w:p w14:paraId="71EDBC81">
            <w:pPr>
              <w:widowControl/>
              <w:jc w:val="left"/>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由于采购人原因造成的重点业务及服务故障，</w:t>
            </w:r>
            <w:r>
              <w:rPr>
                <w:rFonts w:hint="eastAsia" w:ascii="仿宋" w:hAnsi="仿宋" w:eastAsia="仿宋" w:cs="仿宋"/>
                <w:color w:val="auto"/>
                <w:kern w:val="0"/>
                <w:szCs w:val="21"/>
                <w:highlight w:val="none"/>
                <w:lang w:eastAsia="zh-CN"/>
              </w:rPr>
              <w:t>服务商</w:t>
            </w:r>
            <w:r>
              <w:rPr>
                <w:rFonts w:hint="eastAsia" w:ascii="仿宋" w:hAnsi="仿宋" w:eastAsia="仿宋" w:cs="仿宋"/>
                <w:color w:val="auto"/>
                <w:kern w:val="0"/>
                <w:szCs w:val="21"/>
                <w:highlight w:val="none"/>
              </w:rPr>
              <w:t>主动积极提供解决方案并协助故障处理。</w:t>
            </w:r>
          </w:p>
        </w:tc>
        <w:tc>
          <w:tcPr>
            <w:tcW w:w="2809" w:type="dxa"/>
            <w:tcBorders>
              <w:top w:val="single" w:color="000000" w:sz="4" w:space="0"/>
              <w:left w:val="single" w:color="000000" w:sz="4" w:space="0"/>
              <w:bottom w:val="single" w:color="000000" w:sz="4" w:space="0"/>
              <w:right w:val="single" w:color="000000" w:sz="4" w:space="0"/>
            </w:tcBorders>
            <w:vAlign w:val="center"/>
          </w:tcPr>
          <w:p w14:paraId="1750FD1E">
            <w:pPr>
              <w:widowControl/>
              <w:jc w:val="left"/>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经采购人确认后，每次加5分。</w:t>
            </w:r>
          </w:p>
        </w:tc>
        <w:tc>
          <w:tcPr>
            <w:tcW w:w="722" w:type="dxa"/>
            <w:vMerge w:val="continue"/>
            <w:tcBorders>
              <w:left w:val="single" w:color="000000" w:sz="4" w:space="0"/>
              <w:right w:val="single" w:color="000000" w:sz="4" w:space="0"/>
            </w:tcBorders>
            <w:vAlign w:val="center"/>
          </w:tcPr>
          <w:p w14:paraId="650BC8AE">
            <w:pPr>
              <w:jc w:val="left"/>
              <w:rPr>
                <w:rFonts w:hint="eastAsia" w:ascii="仿宋" w:hAnsi="仿宋" w:eastAsia="仿宋" w:cs="仿宋"/>
                <w:color w:val="auto"/>
                <w:szCs w:val="21"/>
                <w:highlight w:val="none"/>
              </w:rPr>
            </w:pPr>
          </w:p>
        </w:tc>
        <w:tc>
          <w:tcPr>
            <w:tcW w:w="791" w:type="dxa"/>
            <w:vMerge w:val="continue"/>
            <w:tcBorders>
              <w:left w:val="single" w:color="000000" w:sz="4" w:space="0"/>
              <w:right w:val="single" w:color="000000" w:sz="4" w:space="0"/>
            </w:tcBorders>
            <w:vAlign w:val="center"/>
          </w:tcPr>
          <w:p w14:paraId="24B5EA0C">
            <w:pPr>
              <w:jc w:val="left"/>
              <w:rPr>
                <w:rFonts w:hint="eastAsia" w:ascii="仿宋" w:hAnsi="仿宋" w:eastAsia="仿宋" w:cs="仿宋"/>
                <w:color w:val="auto"/>
                <w:szCs w:val="21"/>
                <w:highlight w:val="none"/>
              </w:rPr>
            </w:pPr>
          </w:p>
        </w:tc>
        <w:tc>
          <w:tcPr>
            <w:tcW w:w="777" w:type="dxa"/>
            <w:vMerge w:val="continue"/>
            <w:tcBorders>
              <w:left w:val="single" w:color="000000" w:sz="4" w:space="0"/>
              <w:right w:val="single" w:color="000000" w:sz="4" w:space="0"/>
            </w:tcBorders>
            <w:vAlign w:val="center"/>
          </w:tcPr>
          <w:p w14:paraId="6254FAB0">
            <w:pPr>
              <w:jc w:val="left"/>
              <w:rPr>
                <w:rFonts w:hint="eastAsia" w:ascii="仿宋" w:hAnsi="仿宋" w:eastAsia="仿宋" w:cs="仿宋"/>
                <w:color w:val="auto"/>
                <w:szCs w:val="21"/>
                <w:highlight w:val="none"/>
              </w:rPr>
            </w:pPr>
          </w:p>
        </w:tc>
      </w:tr>
      <w:tr w14:paraId="3A3CC276">
        <w:tblPrEx>
          <w:tblCellMar>
            <w:top w:w="0" w:type="dxa"/>
            <w:left w:w="108" w:type="dxa"/>
            <w:bottom w:w="0" w:type="dxa"/>
            <w:right w:w="108" w:type="dxa"/>
          </w:tblCellMar>
        </w:tblPrEx>
        <w:trPr>
          <w:trHeight w:val="690" w:hRule="atLeast"/>
          <w:jc w:val="center"/>
        </w:trPr>
        <w:tc>
          <w:tcPr>
            <w:tcW w:w="636" w:type="dxa"/>
            <w:vMerge w:val="continue"/>
            <w:tcBorders>
              <w:top w:val="single" w:color="000000" w:sz="4" w:space="0"/>
              <w:left w:val="single" w:color="000000" w:sz="4" w:space="0"/>
              <w:bottom w:val="single" w:color="000000" w:sz="4" w:space="0"/>
              <w:right w:val="single" w:color="000000" w:sz="4" w:space="0"/>
            </w:tcBorders>
            <w:vAlign w:val="center"/>
          </w:tcPr>
          <w:p w14:paraId="35136F33">
            <w:pPr>
              <w:jc w:val="center"/>
              <w:rPr>
                <w:rFonts w:hint="eastAsia" w:ascii="仿宋" w:hAnsi="仿宋" w:eastAsia="仿宋" w:cs="仿宋"/>
                <w:color w:val="auto"/>
                <w:szCs w:val="21"/>
                <w:highlight w:val="none"/>
              </w:rPr>
            </w:pPr>
          </w:p>
        </w:tc>
        <w:tc>
          <w:tcPr>
            <w:tcW w:w="1140" w:type="dxa"/>
            <w:vMerge w:val="continue"/>
            <w:tcBorders>
              <w:top w:val="single" w:color="000000" w:sz="4" w:space="0"/>
              <w:left w:val="single" w:color="000000" w:sz="4" w:space="0"/>
              <w:bottom w:val="single" w:color="000000" w:sz="4" w:space="0"/>
              <w:right w:val="single" w:color="000000" w:sz="4" w:space="0"/>
            </w:tcBorders>
            <w:vAlign w:val="center"/>
          </w:tcPr>
          <w:p w14:paraId="62B6B586">
            <w:pPr>
              <w:jc w:val="left"/>
              <w:rPr>
                <w:rFonts w:hint="eastAsia" w:ascii="仿宋" w:hAnsi="仿宋" w:eastAsia="仿宋" w:cs="仿宋"/>
                <w:color w:val="auto"/>
                <w:szCs w:val="21"/>
                <w:highlight w:val="none"/>
              </w:rPr>
            </w:pPr>
          </w:p>
        </w:tc>
        <w:tc>
          <w:tcPr>
            <w:tcW w:w="2648" w:type="dxa"/>
            <w:gridSpan w:val="2"/>
            <w:tcBorders>
              <w:top w:val="single" w:color="000000" w:sz="4" w:space="0"/>
              <w:left w:val="single" w:color="000000" w:sz="4" w:space="0"/>
              <w:bottom w:val="single" w:color="000000" w:sz="4" w:space="0"/>
              <w:right w:val="single" w:color="000000" w:sz="4" w:space="0"/>
            </w:tcBorders>
            <w:vAlign w:val="center"/>
          </w:tcPr>
          <w:p w14:paraId="166CAB07">
            <w:pPr>
              <w:widowControl/>
              <w:jc w:val="left"/>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lang w:eastAsia="zh-CN"/>
              </w:rPr>
              <w:t>服务商</w:t>
            </w:r>
            <w:r>
              <w:rPr>
                <w:rFonts w:hint="eastAsia" w:ascii="仿宋" w:hAnsi="仿宋" w:eastAsia="仿宋" w:cs="仿宋"/>
                <w:color w:val="auto"/>
                <w:kern w:val="0"/>
                <w:szCs w:val="21"/>
                <w:highlight w:val="none"/>
              </w:rPr>
              <w:t>主动进行的系统健康措施检查，对于发现影响重要业务及服务的系统风险,提出解决措施并最终落地实施。</w:t>
            </w:r>
          </w:p>
        </w:tc>
        <w:tc>
          <w:tcPr>
            <w:tcW w:w="2809" w:type="dxa"/>
            <w:tcBorders>
              <w:top w:val="single" w:color="000000" w:sz="4" w:space="0"/>
              <w:left w:val="single" w:color="000000" w:sz="4" w:space="0"/>
              <w:bottom w:val="single" w:color="000000" w:sz="4" w:space="0"/>
              <w:right w:val="single" w:color="000000" w:sz="4" w:space="0"/>
            </w:tcBorders>
            <w:vAlign w:val="center"/>
          </w:tcPr>
          <w:p w14:paraId="02930093">
            <w:pPr>
              <w:widowControl/>
              <w:jc w:val="left"/>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经采购人确认后，每次加5分。</w:t>
            </w:r>
          </w:p>
        </w:tc>
        <w:tc>
          <w:tcPr>
            <w:tcW w:w="722" w:type="dxa"/>
            <w:vMerge w:val="continue"/>
            <w:tcBorders>
              <w:left w:val="single" w:color="000000" w:sz="4" w:space="0"/>
              <w:bottom w:val="single" w:color="000000" w:sz="4" w:space="0"/>
              <w:right w:val="single" w:color="000000" w:sz="4" w:space="0"/>
            </w:tcBorders>
            <w:vAlign w:val="center"/>
          </w:tcPr>
          <w:p w14:paraId="5ACC0115">
            <w:pPr>
              <w:jc w:val="left"/>
              <w:rPr>
                <w:rFonts w:hint="eastAsia" w:ascii="仿宋" w:hAnsi="仿宋" w:eastAsia="仿宋" w:cs="仿宋"/>
                <w:color w:val="auto"/>
                <w:szCs w:val="21"/>
                <w:highlight w:val="none"/>
              </w:rPr>
            </w:pPr>
          </w:p>
        </w:tc>
        <w:tc>
          <w:tcPr>
            <w:tcW w:w="791" w:type="dxa"/>
            <w:vMerge w:val="continue"/>
            <w:tcBorders>
              <w:left w:val="single" w:color="000000" w:sz="4" w:space="0"/>
              <w:bottom w:val="single" w:color="000000" w:sz="4" w:space="0"/>
              <w:right w:val="single" w:color="000000" w:sz="4" w:space="0"/>
            </w:tcBorders>
            <w:vAlign w:val="center"/>
          </w:tcPr>
          <w:p w14:paraId="28557F87">
            <w:pPr>
              <w:jc w:val="left"/>
              <w:rPr>
                <w:rFonts w:hint="eastAsia" w:ascii="仿宋" w:hAnsi="仿宋" w:eastAsia="仿宋" w:cs="仿宋"/>
                <w:color w:val="auto"/>
                <w:szCs w:val="21"/>
                <w:highlight w:val="none"/>
              </w:rPr>
            </w:pPr>
          </w:p>
        </w:tc>
        <w:tc>
          <w:tcPr>
            <w:tcW w:w="777" w:type="dxa"/>
            <w:vMerge w:val="continue"/>
            <w:tcBorders>
              <w:left w:val="single" w:color="000000" w:sz="4" w:space="0"/>
              <w:bottom w:val="single" w:color="000000" w:sz="4" w:space="0"/>
              <w:right w:val="single" w:color="000000" w:sz="4" w:space="0"/>
            </w:tcBorders>
            <w:vAlign w:val="center"/>
          </w:tcPr>
          <w:p w14:paraId="296C8877">
            <w:pPr>
              <w:jc w:val="left"/>
              <w:rPr>
                <w:rFonts w:hint="eastAsia" w:ascii="仿宋" w:hAnsi="仿宋" w:eastAsia="仿宋" w:cs="仿宋"/>
                <w:color w:val="auto"/>
                <w:szCs w:val="21"/>
                <w:highlight w:val="none"/>
              </w:rPr>
            </w:pPr>
          </w:p>
        </w:tc>
      </w:tr>
      <w:tr w14:paraId="2B0F0F44">
        <w:trPr>
          <w:trHeight w:val="690" w:hRule="atLeast"/>
          <w:jc w:val="center"/>
        </w:trPr>
        <w:tc>
          <w:tcPr>
            <w:tcW w:w="636" w:type="dxa"/>
            <w:tcBorders>
              <w:top w:val="single" w:color="000000" w:sz="4" w:space="0"/>
              <w:left w:val="single" w:color="000000" w:sz="4" w:space="0"/>
              <w:bottom w:val="single" w:color="000000" w:sz="4" w:space="0"/>
              <w:right w:val="single" w:color="000000" w:sz="4" w:space="0"/>
            </w:tcBorders>
            <w:vAlign w:val="center"/>
          </w:tcPr>
          <w:p w14:paraId="64722F9E">
            <w:pPr>
              <w:widowControl/>
              <w:jc w:val="left"/>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5</w:t>
            </w:r>
          </w:p>
        </w:tc>
        <w:tc>
          <w:tcPr>
            <w:tcW w:w="1140" w:type="dxa"/>
            <w:tcBorders>
              <w:top w:val="single" w:color="000000" w:sz="4" w:space="0"/>
              <w:left w:val="single" w:color="000000" w:sz="4" w:space="0"/>
              <w:bottom w:val="single" w:color="000000" w:sz="4" w:space="0"/>
              <w:right w:val="single" w:color="000000" w:sz="4" w:space="0"/>
            </w:tcBorders>
            <w:vAlign w:val="center"/>
          </w:tcPr>
          <w:p w14:paraId="04F6B6B9">
            <w:pPr>
              <w:widowControl/>
              <w:jc w:val="left"/>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同样问题或故障是否重复出现</w:t>
            </w:r>
          </w:p>
        </w:tc>
        <w:tc>
          <w:tcPr>
            <w:tcW w:w="2648" w:type="dxa"/>
            <w:gridSpan w:val="2"/>
            <w:tcBorders>
              <w:top w:val="single" w:color="000000" w:sz="4" w:space="0"/>
              <w:left w:val="single" w:color="000000" w:sz="4" w:space="0"/>
              <w:bottom w:val="single" w:color="000000" w:sz="4" w:space="0"/>
              <w:right w:val="single" w:color="000000" w:sz="4" w:space="0"/>
            </w:tcBorders>
            <w:vAlign w:val="center"/>
          </w:tcPr>
          <w:p w14:paraId="6D35B788">
            <w:pPr>
              <w:widowControl/>
              <w:jc w:val="left"/>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故障反复出现</w:t>
            </w:r>
          </w:p>
        </w:tc>
        <w:tc>
          <w:tcPr>
            <w:tcW w:w="2809" w:type="dxa"/>
            <w:tcBorders>
              <w:top w:val="single" w:color="000000" w:sz="4" w:space="0"/>
              <w:left w:val="single" w:color="000000" w:sz="4" w:space="0"/>
              <w:bottom w:val="single" w:color="000000" w:sz="4" w:space="0"/>
              <w:right w:val="single" w:color="000000" w:sz="4" w:space="0"/>
            </w:tcBorders>
            <w:vAlign w:val="center"/>
          </w:tcPr>
          <w:p w14:paraId="79EE25D8">
            <w:pPr>
              <w:widowControl/>
              <w:jc w:val="left"/>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每个重复出现的故障，扣15分。</w:t>
            </w:r>
          </w:p>
        </w:tc>
        <w:tc>
          <w:tcPr>
            <w:tcW w:w="722" w:type="dxa"/>
            <w:tcBorders>
              <w:top w:val="single" w:color="000000" w:sz="4" w:space="0"/>
              <w:left w:val="single" w:color="000000" w:sz="4" w:space="0"/>
              <w:bottom w:val="single" w:color="000000" w:sz="4" w:space="0"/>
              <w:right w:val="single" w:color="000000" w:sz="4" w:space="0"/>
            </w:tcBorders>
            <w:vAlign w:val="center"/>
          </w:tcPr>
          <w:p w14:paraId="7FFC2523">
            <w:pPr>
              <w:jc w:val="left"/>
              <w:rPr>
                <w:rFonts w:hint="eastAsia" w:ascii="仿宋" w:hAnsi="仿宋" w:eastAsia="仿宋" w:cs="仿宋"/>
                <w:color w:val="auto"/>
                <w:szCs w:val="21"/>
                <w:highlight w:val="none"/>
              </w:rPr>
            </w:pPr>
          </w:p>
        </w:tc>
        <w:tc>
          <w:tcPr>
            <w:tcW w:w="791" w:type="dxa"/>
            <w:tcBorders>
              <w:top w:val="single" w:color="000000" w:sz="4" w:space="0"/>
              <w:left w:val="single" w:color="000000" w:sz="4" w:space="0"/>
              <w:bottom w:val="single" w:color="000000" w:sz="4" w:space="0"/>
              <w:right w:val="single" w:color="000000" w:sz="4" w:space="0"/>
            </w:tcBorders>
            <w:vAlign w:val="center"/>
          </w:tcPr>
          <w:p w14:paraId="700B1BD8">
            <w:pPr>
              <w:jc w:val="left"/>
              <w:rPr>
                <w:rFonts w:hint="eastAsia" w:ascii="仿宋" w:hAnsi="仿宋" w:eastAsia="仿宋" w:cs="仿宋"/>
                <w:color w:val="auto"/>
                <w:szCs w:val="21"/>
                <w:highlight w:val="none"/>
              </w:rPr>
            </w:pPr>
          </w:p>
        </w:tc>
        <w:tc>
          <w:tcPr>
            <w:tcW w:w="777" w:type="dxa"/>
            <w:tcBorders>
              <w:top w:val="single" w:color="000000" w:sz="4" w:space="0"/>
              <w:left w:val="single" w:color="000000" w:sz="4" w:space="0"/>
              <w:bottom w:val="single" w:color="000000" w:sz="4" w:space="0"/>
              <w:right w:val="single" w:color="000000" w:sz="4" w:space="0"/>
            </w:tcBorders>
            <w:vAlign w:val="center"/>
          </w:tcPr>
          <w:p w14:paraId="1C63787B">
            <w:pPr>
              <w:jc w:val="left"/>
              <w:rPr>
                <w:rFonts w:hint="eastAsia" w:ascii="仿宋" w:hAnsi="仿宋" w:eastAsia="仿宋" w:cs="仿宋"/>
                <w:color w:val="auto"/>
                <w:szCs w:val="21"/>
                <w:highlight w:val="none"/>
              </w:rPr>
            </w:pPr>
          </w:p>
        </w:tc>
      </w:tr>
      <w:tr w14:paraId="15A79519">
        <w:tblPrEx>
          <w:tblCellMar>
            <w:top w:w="0" w:type="dxa"/>
            <w:left w:w="108" w:type="dxa"/>
            <w:bottom w:w="0" w:type="dxa"/>
            <w:right w:w="108" w:type="dxa"/>
          </w:tblCellMar>
        </w:tblPrEx>
        <w:trPr>
          <w:trHeight w:val="1380" w:hRule="atLeast"/>
          <w:jc w:val="center"/>
        </w:trPr>
        <w:tc>
          <w:tcPr>
            <w:tcW w:w="636" w:type="dxa"/>
            <w:vMerge w:val="restart"/>
            <w:tcBorders>
              <w:top w:val="single" w:color="000000" w:sz="4" w:space="0"/>
              <w:left w:val="single" w:color="000000" w:sz="4" w:space="0"/>
              <w:bottom w:val="single" w:color="000000" w:sz="4" w:space="0"/>
              <w:right w:val="single" w:color="000000" w:sz="4" w:space="0"/>
            </w:tcBorders>
            <w:vAlign w:val="center"/>
          </w:tcPr>
          <w:p w14:paraId="5D79145F">
            <w:pPr>
              <w:widowControl/>
              <w:jc w:val="left"/>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6</w:t>
            </w:r>
          </w:p>
        </w:tc>
        <w:tc>
          <w:tcPr>
            <w:tcW w:w="1140" w:type="dxa"/>
            <w:vMerge w:val="restart"/>
            <w:tcBorders>
              <w:top w:val="single" w:color="000000" w:sz="4" w:space="0"/>
              <w:left w:val="single" w:color="000000" w:sz="4" w:space="0"/>
              <w:bottom w:val="single" w:color="000000" w:sz="4" w:space="0"/>
              <w:right w:val="single" w:color="000000" w:sz="4" w:space="0"/>
            </w:tcBorders>
            <w:vAlign w:val="center"/>
          </w:tcPr>
          <w:p w14:paraId="095B264D">
            <w:pPr>
              <w:widowControl/>
              <w:jc w:val="left"/>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实施运维人员专业技能</w:t>
            </w:r>
          </w:p>
        </w:tc>
        <w:tc>
          <w:tcPr>
            <w:tcW w:w="2648" w:type="dxa"/>
            <w:gridSpan w:val="2"/>
            <w:tcBorders>
              <w:top w:val="single" w:color="000000" w:sz="4" w:space="0"/>
              <w:left w:val="single" w:color="000000" w:sz="4" w:space="0"/>
              <w:bottom w:val="single" w:color="000000" w:sz="4" w:space="0"/>
              <w:right w:val="single" w:color="000000" w:sz="4" w:space="0"/>
            </w:tcBorders>
            <w:vAlign w:val="center"/>
          </w:tcPr>
          <w:p w14:paraId="41F3C7BF">
            <w:pPr>
              <w:widowControl/>
              <w:jc w:val="left"/>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lang w:eastAsia="zh-CN"/>
              </w:rPr>
              <w:t>服务商</w:t>
            </w:r>
            <w:r>
              <w:rPr>
                <w:rFonts w:hint="eastAsia" w:ascii="仿宋" w:hAnsi="仿宋" w:eastAsia="仿宋" w:cs="仿宋"/>
                <w:color w:val="auto"/>
                <w:kern w:val="0"/>
                <w:szCs w:val="21"/>
                <w:highlight w:val="none"/>
              </w:rPr>
              <w:t>需按照采购人要求提供具备专业技能的运维人员驻场进行运维服务，并按照采购人要求进行现场管理</w:t>
            </w:r>
          </w:p>
        </w:tc>
        <w:tc>
          <w:tcPr>
            <w:tcW w:w="2809" w:type="dxa"/>
            <w:tcBorders>
              <w:top w:val="single" w:color="000000" w:sz="4" w:space="0"/>
              <w:left w:val="single" w:color="000000" w:sz="4" w:space="0"/>
              <w:bottom w:val="single" w:color="000000" w:sz="4" w:space="0"/>
              <w:right w:val="single" w:color="000000" w:sz="4" w:space="0"/>
            </w:tcBorders>
            <w:vAlign w:val="center"/>
          </w:tcPr>
          <w:p w14:paraId="12996C16">
            <w:pPr>
              <w:widowControl/>
              <w:jc w:val="left"/>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lang w:eastAsia="zh-CN"/>
              </w:rPr>
              <w:t>服务商</w:t>
            </w:r>
            <w:r>
              <w:rPr>
                <w:rFonts w:hint="eastAsia" w:ascii="仿宋" w:hAnsi="仿宋" w:eastAsia="仿宋" w:cs="仿宋"/>
                <w:color w:val="auto"/>
                <w:kern w:val="0"/>
                <w:szCs w:val="21"/>
                <w:highlight w:val="none"/>
              </w:rPr>
              <w:t>备案驻场人员如违反采购人现场管理规定（例如旷工，不准时到岗、不佩戴工作证上岗、着装不整齐、被采购人用户部门投诉并经核实记录在案等情况），由采购人不定时抽查，每发生一次扣2分。</w:t>
            </w:r>
          </w:p>
        </w:tc>
        <w:tc>
          <w:tcPr>
            <w:tcW w:w="722" w:type="dxa"/>
            <w:vMerge w:val="restart"/>
            <w:tcBorders>
              <w:top w:val="single" w:color="000000" w:sz="4" w:space="0"/>
              <w:left w:val="single" w:color="000000" w:sz="4" w:space="0"/>
              <w:bottom w:val="single" w:color="000000" w:sz="4" w:space="0"/>
              <w:right w:val="single" w:color="000000" w:sz="4" w:space="0"/>
            </w:tcBorders>
            <w:vAlign w:val="center"/>
          </w:tcPr>
          <w:p w14:paraId="5CDE707E">
            <w:pPr>
              <w:jc w:val="left"/>
              <w:rPr>
                <w:rFonts w:hint="eastAsia" w:ascii="仿宋" w:hAnsi="仿宋" w:eastAsia="仿宋" w:cs="仿宋"/>
                <w:color w:val="auto"/>
                <w:szCs w:val="21"/>
                <w:highlight w:val="none"/>
              </w:rPr>
            </w:pPr>
          </w:p>
        </w:tc>
        <w:tc>
          <w:tcPr>
            <w:tcW w:w="791" w:type="dxa"/>
            <w:vMerge w:val="restart"/>
            <w:tcBorders>
              <w:top w:val="single" w:color="000000" w:sz="4" w:space="0"/>
              <w:left w:val="single" w:color="000000" w:sz="4" w:space="0"/>
              <w:bottom w:val="single" w:color="000000" w:sz="4" w:space="0"/>
              <w:right w:val="single" w:color="000000" w:sz="4" w:space="0"/>
            </w:tcBorders>
            <w:vAlign w:val="center"/>
          </w:tcPr>
          <w:p w14:paraId="202709AA">
            <w:pPr>
              <w:jc w:val="left"/>
              <w:rPr>
                <w:rFonts w:hint="eastAsia" w:ascii="仿宋" w:hAnsi="仿宋" w:eastAsia="仿宋" w:cs="仿宋"/>
                <w:color w:val="auto"/>
                <w:szCs w:val="21"/>
                <w:highlight w:val="none"/>
              </w:rPr>
            </w:pPr>
          </w:p>
        </w:tc>
        <w:tc>
          <w:tcPr>
            <w:tcW w:w="777" w:type="dxa"/>
            <w:vMerge w:val="restart"/>
            <w:tcBorders>
              <w:top w:val="single" w:color="000000" w:sz="4" w:space="0"/>
              <w:left w:val="single" w:color="000000" w:sz="4" w:space="0"/>
              <w:bottom w:val="single" w:color="000000" w:sz="4" w:space="0"/>
              <w:right w:val="single" w:color="000000" w:sz="4" w:space="0"/>
            </w:tcBorders>
            <w:vAlign w:val="center"/>
          </w:tcPr>
          <w:p w14:paraId="4C6817C1">
            <w:pPr>
              <w:jc w:val="left"/>
              <w:rPr>
                <w:rFonts w:hint="eastAsia" w:ascii="仿宋" w:hAnsi="仿宋" w:eastAsia="仿宋" w:cs="仿宋"/>
                <w:color w:val="auto"/>
                <w:szCs w:val="21"/>
                <w:highlight w:val="none"/>
              </w:rPr>
            </w:pPr>
          </w:p>
        </w:tc>
      </w:tr>
      <w:tr w14:paraId="0EE5BF2A">
        <w:tblPrEx>
          <w:tblCellMar>
            <w:top w:w="0" w:type="dxa"/>
            <w:left w:w="108" w:type="dxa"/>
            <w:bottom w:w="0" w:type="dxa"/>
            <w:right w:w="108" w:type="dxa"/>
          </w:tblCellMar>
        </w:tblPrEx>
        <w:trPr>
          <w:trHeight w:val="1035" w:hRule="atLeast"/>
          <w:jc w:val="center"/>
        </w:trPr>
        <w:tc>
          <w:tcPr>
            <w:tcW w:w="636" w:type="dxa"/>
            <w:vMerge w:val="continue"/>
            <w:tcBorders>
              <w:top w:val="single" w:color="000000" w:sz="4" w:space="0"/>
              <w:left w:val="single" w:color="000000" w:sz="4" w:space="0"/>
              <w:bottom w:val="single" w:color="000000" w:sz="4" w:space="0"/>
              <w:right w:val="single" w:color="000000" w:sz="4" w:space="0"/>
            </w:tcBorders>
            <w:vAlign w:val="center"/>
          </w:tcPr>
          <w:p w14:paraId="07706C31">
            <w:pPr>
              <w:jc w:val="left"/>
              <w:rPr>
                <w:rFonts w:hint="eastAsia" w:ascii="仿宋" w:hAnsi="仿宋" w:eastAsia="仿宋" w:cs="仿宋"/>
                <w:color w:val="auto"/>
                <w:szCs w:val="21"/>
                <w:highlight w:val="none"/>
              </w:rPr>
            </w:pPr>
          </w:p>
        </w:tc>
        <w:tc>
          <w:tcPr>
            <w:tcW w:w="1140" w:type="dxa"/>
            <w:vMerge w:val="continue"/>
            <w:tcBorders>
              <w:top w:val="single" w:color="000000" w:sz="4" w:space="0"/>
              <w:left w:val="single" w:color="000000" w:sz="4" w:space="0"/>
              <w:bottom w:val="single" w:color="000000" w:sz="4" w:space="0"/>
              <w:right w:val="single" w:color="000000" w:sz="4" w:space="0"/>
            </w:tcBorders>
            <w:vAlign w:val="center"/>
          </w:tcPr>
          <w:p w14:paraId="60C204A3">
            <w:pPr>
              <w:jc w:val="left"/>
              <w:rPr>
                <w:rFonts w:hint="eastAsia" w:ascii="仿宋" w:hAnsi="仿宋" w:eastAsia="仿宋" w:cs="仿宋"/>
                <w:color w:val="auto"/>
                <w:szCs w:val="21"/>
                <w:highlight w:val="none"/>
              </w:rPr>
            </w:pPr>
          </w:p>
        </w:tc>
        <w:tc>
          <w:tcPr>
            <w:tcW w:w="2648" w:type="dxa"/>
            <w:gridSpan w:val="2"/>
            <w:tcBorders>
              <w:top w:val="single" w:color="000000" w:sz="4" w:space="0"/>
              <w:left w:val="single" w:color="000000" w:sz="4" w:space="0"/>
              <w:bottom w:val="single" w:color="000000" w:sz="4" w:space="0"/>
              <w:right w:val="single" w:color="000000" w:sz="4" w:space="0"/>
            </w:tcBorders>
            <w:vAlign w:val="center"/>
          </w:tcPr>
          <w:p w14:paraId="73A513C8">
            <w:pPr>
              <w:widowControl/>
              <w:jc w:val="left"/>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lang w:eastAsia="zh-CN"/>
              </w:rPr>
              <w:t>服务商</w:t>
            </w:r>
            <w:r>
              <w:rPr>
                <w:rFonts w:hint="eastAsia" w:ascii="仿宋" w:hAnsi="仿宋" w:eastAsia="仿宋" w:cs="仿宋"/>
                <w:color w:val="auto"/>
                <w:kern w:val="0"/>
                <w:szCs w:val="21"/>
                <w:highlight w:val="none"/>
              </w:rPr>
              <w:t>提供运维服务的团队中需包括管理岗、技术支持岗、操作岗，并且</w:t>
            </w:r>
            <w:r>
              <w:rPr>
                <w:rFonts w:hint="eastAsia" w:ascii="仿宋" w:hAnsi="仿宋" w:eastAsia="仿宋" w:cs="仿宋"/>
                <w:color w:val="auto"/>
                <w:kern w:val="0"/>
                <w:szCs w:val="21"/>
                <w:highlight w:val="none"/>
                <w:lang w:eastAsia="zh-CN"/>
              </w:rPr>
              <w:t>服务商</w:t>
            </w:r>
            <w:r>
              <w:rPr>
                <w:rFonts w:hint="eastAsia" w:ascii="仿宋" w:hAnsi="仿宋" w:eastAsia="仿宋" w:cs="仿宋"/>
                <w:color w:val="auto"/>
                <w:kern w:val="0"/>
                <w:szCs w:val="21"/>
                <w:highlight w:val="none"/>
              </w:rPr>
              <w:t>需将人员结构名单提供采购人备查，如人员发生变动需至少提早一个月告知采购人。</w:t>
            </w:r>
          </w:p>
        </w:tc>
        <w:tc>
          <w:tcPr>
            <w:tcW w:w="2809" w:type="dxa"/>
            <w:tcBorders>
              <w:top w:val="single" w:color="000000" w:sz="4" w:space="0"/>
              <w:left w:val="single" w:color="000000" w:sz="4" w:space="0"/>
              <w:bottom w:val="single" w:color="000000" w:sz="4" w:space="0"/>
              <w:right w:val="single" w:color="000000" w:sz="4" w:space="0"/>
            </w:tcBorders>
            <w:vAlign w:val="center"/>
          </w:tcPr>
          <w:p w14:paraId="4990D11F">
            <w:pPr>
              <w:widowControl/>
              <w:jc w:val="left"/>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lang w:eastAsia="zh-CN"/>
              </w:rPr>
              <w:t>服务商</w:t>
            </w:r>
            <w:r>
              <w:rPr>
                <w:rFonts w:hint="eastAsia" w:ascii="仿宋" w:hAnsi="仿宋" w:eastAsia="仿宋" w:cs="仿宋"/>
                <w:color w:val="auto"/>
                <w:kern w:val="0"/>
                <w:szCs w:val="21"/>
                <w:highlight w:val="none"/>
              </w:rPr>
              <w:t>不按时告知采购人运维团队人员变动的，每次扣5分。</w:t>
            </w:r>
          </w:p>
        </w:tc>
        <w:tc>
          <w:tcPr>
            <w:tcW w:w="722" w:type="dxa"/>
            <w:vMerge w:val="continue"/>
            <w:tcBorders>
              <w:top w:val="single" w:color="000000" w:sz="4" w:space="0"/>
              <w:left w:val="single" w:color="000000" w:sz="4" w:space="0"/>
              <w:bottom w:val="single" w:color="000000" w:sz="4" w:space="0"/>
              <w:right w:val="single" w:color="000000" w:sz="4" w:space="0"/>
            </w:tcBorders>
            <w:vAlign w:val="center"/>
          </w:tcPr>
          <w:p w14:paraId="17D8337B">
            <w:pPr>
              <w:jc w:val="left"/>
              <w:rPr>
                <w:rFonts w:hint="eastAsia" w:ascii="仿宋" w:hAnsi="仿宋" w:eastAsia="仿宋" w:cs="仿宋"/>
                <w:color w:val="auto"/>
                <w:szCs w:val="21"/>
                <w:highlight w:val="none"/>
              </w:rPr>
            </w:pPr>
          </w:p>
        </w:tc>
        <w:tc>
          <w:tcPr>
            <w:tcW w:w="791" w:type="dxa"/>
            <w:vMerge w:val="continue"/>
            <w:tcBorders>
              <w:top w:val="single" w:color="000000" w:sz="4" w:space="0"/>
              <w:left w:val="single" w:color="000000" w:sz="4" w:space="0"/>
              <w:bottom w:val="single" w:color="000000" w:sz="4" w:space="0"/>
              <w:right w:val="single" w:color="000000" w:sz="4" w:space="0"/>
            </w:tcBorders>
            <w:vAlign w:val="center"/>
          </w:tcPr>
          <w:p w14:paraId="659D3E7E">
            <w:pPr>
              <w:jc w:val="left"/>
              <w:rPr>
                <w:rFonts w:hint="eastAsia" w:ascii="仿宋" w:hAnsi="仿宋" w:eastAsia="仿宋" w:cs="仿宋"/>
                <w:color w:val="auto"/>
                <w:szCs w:val="21"/>
                <w:highlight w:val="none"/>
              </w:rPr>
            </w:pPr>
          </w:p>
        </w:tc>
        <w:tc>
          <w:tcPr>
            <w:tcW w:w="777" w:type="dxa"/>
            <w:vMerge w:val="continue"/>
            <w:tcBorders>
              <w:top w:val="single" w:color="000000" w:sz="4" w:space="0"/>
              <w:left w:val="single" w:color="000000" w:sz="4" w:space="0"/>
              <w:bottom w:val="single" w:color="000000" w:sz="4" w:space="0"/>
              <w:right w:val="single" w:color="000000" w:sz="4" w:space="0"/>
            </w:tcBorders>
            <w:vAlign w:val="center"/>
          </w:tcPr>
          <w:p w14:paraId="20476B17">
            <w:pPr>
              <w:jc w:val="left"/>
              <w:rPr>
                <w:rFonts w:hint="eastAsia" w:ascii="仿宋" w:hAnsi="仿宋" w:eastAsia="仿宋" w:cs="仿宋"/>
                <w:color w:val="auto"/>
                <w:szCs w:val="21"/>
                <w:highlight w:val="none"/>
              </w:rPr>
            </w:pPr>
          </w:p>
        </w:tc>
      </w:tr>
      <w:tr w14:paraId="29C2B31E">
        <w:trPr>
          <w:trHeight w:val="690" w:hRule="atLeast"/>
          <w:jc w:val="center"/>
        </w:trPr>
        <w:tc>
          <w:tcPr>
            <w:tcW w:w="636" w:type="dxa"/>
            <w:vMerge w:val="continue"/>
            <w:tcBorders>
              <w:top w:val="single" w:color="000000" w:sz="4" w:space="0"/>
              <w:left w:val="single" w:color="000000" w:sz="4" w:space="0"/>
              <w:bottom w:val="single" w:color="000000" w:sz="4" w:space="0"/>
              <w:right w:val="single" w:color="000000" w:sz="4" w:space="0"/>
            </w:tcBorders>
            <w:vAlign w:val="center"/>
          </w:tcPr>
          <w:p w14:paraId="36013A81">
            <w:pPr>
              <w:jc w:val="left"/>
              <w:rPr>
                <w:rFonts w:hint="eastAsia" w:ascii="仿宋" w:hAnsi="仿宋" w:eastAsia="仿宋" w:cs="仿宋"/>
                <w:color w:val="auto"/>
                <w:szCs w:val="21"/>
                <w:highlight w:val="none"/>
              </w:rPr>
            </w:pPr>
          </w:p>
        </w:tc>
        <w:tc>
          <w:tcPr>
            <w:tcW w:w="1140" w:type="dxa"/>
            <w:vMerge w:val="continue"/>
            <w:tcBorders>
              <w:top w:val="single" w:color="000000" w:sz="4" w:space="0"/>
              <w:left w:val="single" w:color="000000" w:sz="4" w:space="0"/>
              <w:bottom w:val="single" w:color="000000" w:sz="4" w:space="0"/>
              <w:right w:val="single" w:color="000000" w:sz="4" w:space="0"/>
            </w:tcBorders>
            <w:vAlign w:val="center"/>
          </w:tcPr>
          <w:p w14:paraId="0FB42B11">
            <w:pPr>
              <w:jc w:val="left"/>
              <w:rPr>
                <w:rFonts w:hint="eastAsia" w:ascii="仿宋" w:hAnsi="仿宋" w:eastAsia="仿宋" w:cs="仿宋"/>
                <w:color w:val="auto"/>
                <w:szCs w:val="21"/>
                <w:highlight w:val="none"/>
              </w:rPr>
            </w:pPr>
          </w:p>
        </w:tc>
        <w:tc>
          <w:tcPr>
            <w:tcW w:w="2648" w:type="dxa"/>
            <w:gridSpan w:val="2"/>
            <w:tcBorders>
              <w:top w:val="single" w:color="000000" w:sz="4" w:space="0"/>
              <w:left w:val="single" w:color="000000" w:sz="4" w:space="0"/>
              <w:bottom w:val="single" w:color="000000" w:sz="4" w:space="0"/>
              <w:right w:val="single" w:color="000000" w:sz="4" w:space="0"/>
            </w:tcBorders>
            <w:vAlign w:val="center"/>
          </w:tcPr>
          <w:p w14:paraId="56D76252">
            <w:pPr>
              <w:widowControl/>
              <w:jc w:val="left"/>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lang w:eastAsia="zh-CN"/>
              </w:rPr>
              <w:t>服务商</w:t>
            </w:r>
            <w:r>
              <w:rPr>
                <w:rFonts w:hint="eastAsia" w:ascii="仿宋" w:hAnsi="仿宋" w:eastAsia="仿宋" w:cs="仿宋"/>
                <w:color w:val="auto"/>
                <w:kern w:val="0"/>
                <w:szCs w:val="21"/>
                <w:highlight w:val="none"/>
              </w:rPr>
              <w:t>提供驻场运维人员需满足采购人工作要求。</w:t>
            </w:r>
          </w:p>
        </w:tc>
        <w:tc>
          <w:tcPr>
            <w:tcW w:w="2809" w:type="dxa"/>
            <w:tcBorders>
              <w:top w:val="single" w:color="000000" w:sz="4" w:space="0"/>
              <w:left w:val="single" w:color="000000" w:sz="4" w:space="0"/>
              <w:bottom w:val="single" w:color="000000" w:sz="4" w:space="0"/>
              <w:right w:val="single" w:color="000000" w:sz="4" w:space="0"/>
            </w:tcBorders>
            <w:vAlign w:val="center"/>
          </w:tcPr>
          <w:p w14:paraId="3262388D">
            <w:pPr>
              <w:widowControl/>
              <w:jc w:val="left"/>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lang w:eastAsia="zh-CN"/>
              </w:rPr>
              <w:t>服务商</w:t>
            </w:r>
            <w:r>
              <w:rPr>
                <w:rFonts w:hint="eastAsia" w:ascii="仿宋" w:hAnsi="仿宋" w:eastAsia="仿宋" w:cs="仿宋"/>
                <w:color w:val="auto"/>
                <w:kern w:val="0"/>
                <w:szCs w:val="21"/>
                <w:highlight w:val="none"/>
              </w:rPr>
              <w:t>提供运维人员素质达不到采购人工作要求、且采购人提出更换的情况下不能在1个月内安排更换的，每发生一次扣5分。</w:t>
            </w:r>
          </w:p>
        </w:tc>
        <w:tc>
          <w:tcPr>
            <w:tcW w:w="722" w:type="dxa"/>
            <w:vMerge w:val="continue"/>
            <w:tcBorders>
              <w:top w:val="single" w:color="000000" w:sz="4" w:space="0"/>
              <w:left w:val="single" w:color="000000" w:sz="4" w:space="0"/>
              <w:bottom w:val="single" w:color="000000" w:sz="4" w:space="0"/>
              <w:right w:val="single" w:color="000000" w:sz="4" w:space="0"/>
            </w:tcBorders>
            <w:vAlign w:val="center"/>
          </w:tcPr>
          <w:p w14:paraId="22496CD7">
            <w:pPr>
              <w:jc w:val="left"/>
              <w:rPr>
                <w:rFonts w:hint="eastAsia" w:ascii="仿宋" w:hAnsi="仿宋" w:eastAsia="仿宋" w:cs="仿宋"/>
                <w:color w:val="auto"/>
                <w:szCs w:val="21"/>
                <w:highlight w:val="none"/>
              </w:rPr>
            </w:pPr>
          </w:p>
        </w:tc>
        <w:tc>
          <w:tcPr>
            <w:tcW w:w="791" w:type="dxa"/>
            <w:vMerge w:val="continue"/>
            <w:tcBorders>
              <w:top w:val="single" w:color="000000" w:sz="4" w:space="0"/>
              <w:left w:val="single" w:color="000000" w:sz="4" w:space="0"/>
              <w:bottom w:val="single" w:color="000000" w:sz="4" w:space="0"/>
              <w:right w:val="single" w:color="000000" w:sz="4" w:space="0"/>
            </w:tcBorders>
            <w:vAlign w:val="center"/>
          </w:tcPr>
          <w:p w14:paraId="372CEE17">
            <w:pPr>
              <w:jc w:val="left"/>
              <w:rPr>
                <w:rFonts w:hint="eastAsia" w:ascii="仿宋" w:hAnsi="仿宋" w:eastAsia="仿宋" w:cs="仿宋"/>
                <w:color w:val="auto"/>
                <w:szCs w:val="21"/>
                <w:highlight w:val="none"/>
              </w:rPr>
            </w:pPr>
          </w:p>
        </w:tc>
        <w:tc>
          <w:tcPr>
            <w:tcW w:w="777" w:type="dxa"/>
            <w:vMerge w:val="continue"/>
            <w:tcBorders>
              <w:top w:val="single" w:color="000000" w:sz="4" w:space="0"/>
              <w:left w:val="single" w:color="000000" w:sz="4" w:space="0"/>
              <w:bottom w:val="single" w:color="000000" w:sz="4" w:space="0"/>
              <w:right w:val="single" w:color="000000" w:sz="4" w:space="0"/>
            </w:tcBorders>
            <w:vAlign w:val="center"/>
          </w:tcPr>
          <w:p w14:paraId="657C3EF6">
            <w:pPr>
              <w:jc w:val="left"/>
              <w:rPr>
                <w:rFonts w:hint="eastAsia" w:ascii="仿宋" w:hAnsi="仿宋" w:eastAsia="仿宋" w:cs="仿宋"/>
                <w:color w:val="auto"/>
                <w:szCs w:val="21"/>
                <w:highlight w:val="none"/>
              </w:rPr>
            </w:pPr>
          </w:p>
        </w:tc>
      </w:tr>
      <w:tr w14:paraId="5B9024D4">
        <w:tblPrEx>
          <w:tblCellMar>
            <w:top w:w="0" w:type="dxa"/>
            <w:left w:w="108" w:type="dxa"/>
            <w:bottom w:w="0" w:type="dxa"/>
            <w:right w:w="108" w:type="dxa"/>
          </w:tblCellMar>
        </w:tblPrEx>
        <w:trPr>
          <w:trHeight w:val="1725" w:hRule="atLeast"/>
          <w:jc w:val="center"/>
        </w:trPr>
        <w:tc>
          <w:tcPr>
            <w:tcW w:w="636" w:type="dxa"/>
            <w:vMerge w:val="restart"/>
            <w:tcBorders>
              <w:top w:val="single" w:color="000000" w:sz="4" w:space="0"/>
              <w:left w:val="single" w:color="000000" w:sz="4" w:space="0"/>
              <w:bottom w:val="single" w:color="000000" w:sz="4" w:space="0"/>
              <w:right w:val="single" w:color="000000" w:sz="4" w:space="0"/>
            </w:tcBorders>
            <w:vAlign w:val="center"/>
          </w:tcPr>
          <w:p w14:paraId="59ABEC2C">
            <w:pPr>
              <w:widowControl/>
              <w:jc w:val="center"/>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7</w:t>
            </w:r>
          </w:p>
        </w:tc>
        <w:tc>
          <w:tcPr>
            <w:tcW w:w="1140" w:type="dxa"/>
            <w:vMerge w:val="restart"/>
            <w:tcBorders>
              <w:top w:val="single" w:color="000000" w:sz="4" w:space="0"/>
              <w:left w:val="single" w:color="000000" w:sz="4" w:space="0"/>
              <w:bottom w:val="single" w:color="000000" w:sz="4" w:space="0"/>
              <w:right w:val="single" w:color="000000" w:sz="4" w:space="0"/>
            </w:tcBorders>
            <w:vAlign w:val="center"/>
          </w:tcPr>
          <w:p w14:paraId="77D949E0">
            <w:pPr>
              <w:widowControl/>
              <w:jc w:val="left"/>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维护人员操作规范</w:t>
            </w:r>
          </w:p>
        </w:tc>
        <w:tc>
          <w:tcPr>
            <w:tcW w:w="2648" w:type="dxa"/>
            <w:gridSpan w:val="2"/>
            <w:tcBorders>
              <w:top w:val="single" w:color="000000" w:sz="4" w:space="0"/>
              <w:left w:val="single" w:color="000000" w:sz="4" w:space="0"/>
              <w:bottom w:val="single" w:color="000000" w:sz="4" w:space="0"/>
              <w:right w:val="single" w:color="000000" w:sz="4" w:space="0"/>
            </w:tcBorders>
            <w:vAlign w:val="center"/>
          </w:tcPr>
          <w:p w14:paraId="4EEFE1EB">
            <w:pPr>
              <w:widowControl/>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版本实施计划性：</w:t>
            </w:r>
            <w:r>
              <w:rPr>
                <w:rFonts w:hint="eastAsia" w:ascii="仿宋" w:hAnsi="仿宋" w:eastAsia="仿宋" w:cs="仿宋"/>
                <w:color w:val="auto"/>
                <w:kern w:val="0"/>
                <w:szCs w:val="21"/>
                <w:highlight w:val="none"/>
                <w:lang w:eastAsia="zh-CN"/>
              </w:rPr>
              <w:t>服务商</w:t>
            </w:r>
            <w:r>
              <w:rPr>
                <w:rFonts w:hint="eastAsia" w:ascii="仿宋" w:hAnsi="仿宋" w:eastAsia="仿宋" w:cs="仿宋"/>
                <w:color w:val="auto"/>
                <w:kern w:val="0"/>
                <w:szCs w:val="21"/>
                <w:highlight w:val="none"/>
              </w:rPr>
              <w:t>应在采购人确定版本实施时间前两个工作日，提交更换系统版本及修改内容；在采购人确定版本实施时间及内容后、</w:t>
            </w:r>
            <w:r>
              <w:rPr>
                <w:rFonts w:hint="eastAsia" w:ascii="仿宋" w:hAnsi="仿宋" w:eastAsia="仿宋" w:cs="仿宋"/>
                <w:color w:val="auto"/>
                <w:kern w:val="0"/>
                <w:szCs w:val="21"/>
                <w:highlight w:val="none"/>
                <w:lang w:eastAsia="zh-CN"/>
              </w:rPr>
              <w:t>服务商</w:t>
            </w:r>
            <w:r>
              <w:rPr>
                <w:rFonts w:hint="eastAsia" w:ascii="仿宋" w:hAnsi="仿宋" w:eastAsia="仿宋" w:cs="仿宋"/>
                <w:color w:val="auto"/>
                <w:kern w:val="0"/>
                <w:szCs w:val="21"/>
                <w:highlight w:val="none"/>
              </w:rPr>
              <w:t>不得擅自变更版本内容。</w:t>
            </w:r>
          </w:p>
          <w:p w14:paraId="4FF511C6">
            <w:pPr>
              <w:widowControl/>
              <w:jc w:val="left"/>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版本实施规范性：</w:t>
            </w:r>
            <w:r>
              <w:rPr>
                <w:rFonts w:hint="eastAsia" w:ascii="仿宋" w:hAnsi="仿宋" w:eastAsia="仿宋" w:cs="仿宋"/>
                <w:color w:val="auto"/>
                <w:kern w:val="0"/>
                <w:szCs w:val="21"/>
                <w:highlight w:val="none"/>
                <w:lang w:eastAsia="zh-CN"/>
              </w:rPr>
              <w:t>服务商</w:t>
            </w:r>
            <w:r>
              <w:rPr>
                <w:rFonts w:hint="eastAsia" w:ascii="仿宋" w:hAnsi="仿宋" w:eastAsia="仿宋" w:cs="仿宋"/>
                <w:color w:val="auto"/>
                <w:kern w:val="0"/>
                <w:szCs w:val="21"/>
                <w:highlight w:val="none"/>
              </w:rPr>
              <w:t>不得擅自对生产环节应用系统的软件和配置进行改动。</w:t>
            </w:r>
          </w:p>
        </w:tc>
        <w:tc>
          <w:tcPr>
            <w:tcW w:w="2809" w:type="dxa"/>
            <w:tcBorders>
              <w:top w:val="single" w:color="000000" w:sz="4" w:space="0"/>
              <w:left w:val="single" w:color="000000" w:sz="4" w:space="0"/>
              <w:bottom w:val="single" w:color="000000" w:sz="4" w:space="0"/>
              <w:right w:val="single" w:color="000000" w:sz="4" w:space="0"/>
            </w:tcBorders>
            <w:vAlign w:val="center"/>
          </w:tcPr>
          <w:p w14:paraId="06E3AF87">
            <w:pPr>
              <w:widowControl/>
              <w:jc w:val="left"/>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lang w:eastAsia="zh-CN"/>
              </w:rPr>
              <w:t>服务商</w:t>
            </w:r>
            <w:r>
              <w:rPr>
                <w:rFonts w:hint="eastAsia" w:ascii="仿宋" w:hAnsi="仿宋" w:eastAsia="仿宋" w:cs="仿宋"/>
                <w:color w:val="auto"/>
                <w:kern w:val="0"/>
                <w:szCs w:val="21"/>
                <w:highlight w:val="none"/>
              </w:rPr>
              <w:t>未提前两个工作日提交更换系统版本及修改内容或擅自变更版本内容或擅自对生产环节应用系统的软件和配置进行改动的，每出现一次扣5分。</w:t>
            </w:r>
          </w:p>
        </w:tc>
        <w:tc>
          <w:tcPr>
            <w:tcW w:w="722" w:type="dxa"/>
            <w:vMerge w:val="restart"/>
            <w:tcBorders>
              <w:top w:val="single" w:color="000000" w:sz="4" w:space="0"/>
              <w:left w:val="single" w:color="000000" w:sz="4" w:space="0"/>
              <w:right w:val="single" w:color="000000" w:sz="4" w:space="0"/>
            </w:tcBorders>
            <w:vAlign w:val="center"/>
          </w:tcPr>
          <w:p w14:paraId="559A26CD">
            <w:pPr>
              <w:jc w:val="left"/>
              <w:rPr>
                <w:rFonts w:hint="eastAsia" w:ascii="仿宋" w:hAnsi="仿宋" w:eastAsia="仿宋" w:cs="仿宋"/>
                <w:color w:val="auto"/>
                <w:szCs w:val="21"/>
                <w:highlight w:val="none"/>
              </w:rPr>
            </w:pPr>
          </w:p>
        </w:tc>
        <w:tc>
          <w:tcPr>
            <w:tcW w:w="791" w:type="dxa"/>
            <w:vMerge w:val="restart"/>
            <w:tcBorders>
              <w:top w:val="single" w:color="000000" w:sz="4" w:space="0"/>
              <w:left w:val="single" w:color="000000" w:sz="4" w:space="0"/>
              <w:right w:val="single" w:color="000000" w:sz="4" w:space="0"/>
            </w:tcBorders>
            <w:vAlign w:val="center"/>
          </w:tcPr>
          <w:p w14:paraId="638E6381">
            <w:pPr>
              <w:jc w:val="left"/>
              <w:rPr>
                <w:rFonts w:hint="eastAsia" w:ascii="仿宋" w:hAnsi="仿宋" w:eastAsia="仿宋" w:cs="仿宋"/>
                <w:color w:val="auto"/>
                <w:szCs w:val="21"/>
                <w:highlight w:val="none"/>
              </w:rPr>
            </w:pPr>
          </w:p>
        </w:tc>
        <w:tc>
          <w:tcPr>
            <w:tcW w:w="777" w:type="dxa"/>
            <w:vMerge w:val="restart"/>
            <w:tcBorders>
              <w:top w:val="single" w:color="000000" w:sz="4" w:space="0"/>
              <w:left w:val="single" w:color="000000" w:sz="4" w:space="0"/>
              <w:right w:val="single" w:color="000000" w:sz="4" w:space="0"/>
            </w:tcBorders>
            <w:vAlign w:val="center"/>
          </w:tcPr>
          <w:p w14:paraId="536F6B39">
            <w:pPr>
              <w:jc w:val="left"/>
              <w:rPr>
                <w:rFonts w:hint="eastAsia" w:ascii="仿宋" w:hAnsi="仿宋" w:eastAsia="仿宋" w:cs="仿宋"/>
                <w:color w:val="auto"/>
                <w:szCs w:val="21"/>
                <w:highlight w:val="none"/>
              </w:rPr>
            </w:pPr>
          </w:p>
        </w:tc>
      </w:tr>
      <w:tr w14:paraId="65D0B42D">
        <w:trPr>
          <w:trHeight w:val="690" w:hRule="atLeast"/>
          <w:jc w:val="center"/>
        </w:trPr>
        <w:tc>
          <w:tcPr>
            <w:tcW w:w="636" w:type="dxa"/>
            <w:vMerge w:val="continue"/>
            <w:tcBorders>
              <w:top w:val="single" w:color="000000" w:sz="4" w:space="0"/>
              <w:left w:val="single" w:color="000000" w:sz="4" w:space="0"/>
              <w:bottom w:val="single" w:color="000000" w:sz="4" w:space="0"/>
              <w:right w:val="single" w:color="000000" w:sz="4" w:space="0"/>
            </w:tcBorders>
            <w:vAlign w:val="center"/>
          </w:tcPr>
          <w:p w14:paraId="37F8A9A5">
            <w:pPr>
              <w:jc w:val="center"/>
              <w:rPr>
                <w:rFonts w:hint="eastAsia" w:ascii="仿宋" w:hAnsi="仿宋" w:eastAsia="仿宋" w:cs="仿宋"/>
                <w:color w:val="auto"/>
                <w:szCs w:val="21"/>
                <w:highlight w:val="none"/>
              </w:rPr>
            </w:pPr>
          </w:p>
        </w:tc>
        <w:tc>
          <w:tcPr>
            <w:tcW w:w="1140" w:type="dxa"/>
            <w:vMerge w:val="continue"/>
            <w:tcBorders>
              <w:top w:val="single" w:color="000000" w:sz="4" w:space="0"/>
              <w:left w:val="single" w:color="000000" w:sz="4" w:space="0"/>
              <w:bottom w:val="single" w:color="000000" w:sz="4" w:space="0"/>
              <w:right w:val="single" w:color="000000" w:sz="4" w:space="0"/>
            </w:tcBorders>
            <w:vAlign w:val="center"/>
          </w:tcPr>
          <w:p w14:paraId="31A9BF18">
            <w:pPr>
              <w:jc w:val="left"/>
              <w:rPr>
                <w:rFonts w:hint="eastAsia" w:ascii="仿宋" w:hAnsi="仿宋" w:eastAsia="仿宋" w:cs="仿宋"/>
                <w:color w:val="auto"/>
                <w:szCs w:val="21"/>
                <w:highlight w:val="none"/>
              </w:rPr>
            </w:pPr>
          </w:p>
        </w:tc>
        <w:tc>
          <w:tcPr>
            <w:tcW w:w="2648" w:type="dxa"/>
            <w:gridSpan w:val="2"/>
            <w:tcBorders>
              <w:top w:val="single" w:color="000000" w:sz="4" w:space="0"/>
              <w:left w:val="single" w:color="000000" w:sz="4" w:space="0"/>
              <w:bottom w:val="single" w:color="000000" w:sz="4" w:space="0"/>
              <w:right w:val="single" w:color="000000" w:sz="4" w:space="0"/>
            </w:tcBorders>
            <w:vAlign w:val="center"/>
          </w:tcPr>
          <w:p w14:paraId="0C59E335">
            <w:pPr>
              <w:widowControl/>
              <w:jc w:val="left"/>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每次版本发布后一周内，</w:t>
            </w:r>
            <w:r>
              <w:rPr>
                <w:rFonts w:hint="eastAsia" w:ascii="仿宋" w:hAnsi="仿宋" w:eastAsia="仿宋" w:cs="仿宋"/>
                <w:color w:val="auto"/>
                <w:kern w:val="0"/>
                <w:szCs w:val="21"/>
                <w:highlight w:val="none"/>
                <w:lang w:eastAsia="zh-CN"/>
              </w:rPr>
              <w:t>服务商</w:t>
            </w:r>
            <w:r>
              <w:rPr>
                <w:rFonts w:hint="eastAsia" w:ascii="仿宋" w:hAnsi="仿宋" w:eastAsia="仿宋" w:cs="仿宋"/>
                <w:color w:val="auto"/>
                <w:kern w:val="0"/>
                <w:szCs w:val="21"/>
                <w:highlight w:val="none"/>
              </w:rPr>
              <w:t>需要更新系统数据字典、系统设计文档、系统操作使用手册、系统维护说明。</w:t>
            </w:r>
          </w:p>
        </w:tc>
        <w:tc>
          <w:tcPr>
            <w:tcW w:w="2809" w:type="dxa"/>
            <w:tcBorders>
              <w:top w:val="single" w:color="000000" w:sz="4" w:space="0"/>
              <w:left w:val="single" w:color="000000" w:sz="4" w:space="0"/>
              <w:bottom w:val="single" w:color="000000" w:sz="4" w:space="0"/>
              <w:right w:val="single" w:color="000000" w:sz="4" w:space="0"/>
            </w:tcBorders>
            <w:vAlign w:val="center"/>
          </w:tcPr>
          <w:p w14:paraId="5F68F723">
            <w:pPr>
              <w:widowControl/>
              <w:jc w:val="left"/>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不及时更新的，每出现一次扣5分。</w:t>
            </w:r>
          </w:p>
        </w:tc>
        <w:tc>
          <w:tcPr>
            <w:tcW w:w="722" w:type="dxa"/>
            <w:vMerge w:val="continue"/>
            <w:tcBorders>
              <w:left w:val="single" w:color="000000" w:sz="4" w:space="0"/>
              <w:right w:val="single" w:color="000000" w:sz="4" w:space="0"/>
            </w:tcBorders>
            <w:vAlign w:val="center"/>
          </w:tcPr>
          <w:p w14:paraId="6AB029F7">
            <w:pPr>
              <w:jc w:val="left"/>
              <w:rPr>
                <w:rFonts w:hint="eastAsia" w:ascii="仿宋" w:hAnsi="仿宋" w:eastAsia="仿宋" w:cs="仿宋"/>
                <w:color w:val="auto"/>
                <w:szCs w:val="21"/>
                <w:highlight w:val="none"/>
              </w:rPr>
            </w:pPr>
          </w:p>
        </w:tc>
        <w:tc>
          <w:tcPr>
            <w:tcW w:w="791" w:type="dxa"/>
            <w:vMerge w:val="continue"/>
            <w:tcBorders>
              <w:left w:val="single" w:color="000000" w:sz="4" w:space="0"/>
              <w:right w:val="single" w:color="000000" w:sz="4" w:space="0"/>
            </w:tcBorders>
            <w:vAlign w:val="center"/>
          </w:tcPr>
          <w:p w14:paraId="4ECC3B95">
            <w:pPr>
              <w:jc w:val="left"/>
              <w:rPr>
                <w:rFonts w:hint="eastAsia" w:ascii="仿宋" w:hAnsi="仿宋" w:eastAsia="仿宋" w:cs="仿宋"/>
                <w:color w:val="auto"/>
                <w:szCs w:val="21"/>
                <w:highlight w:val="none"/>
              </w:rPr>
            </w:pPr>
          </w:p>
        </w:tc>
        <w:tc>
          <w:tcPr>
            <w:tcW w:w="777" w:type="dxa"/>
            <w:vMerge w:val="continue"/>
            <w:tcBorders>
              <w:left w:val="single" w:color="000000" w:sz="4" w:space="0"/>
              <w:right w:val="single" w:color="000000" w:sz="4" w:space="0"/>
            </w:tcBorders>
            <w:vAlign w:val="center"/>
          </w:tcPr>
          <w:p w14:paraId="77125DA2">
            <w:pPr>
              <w:jc w:val="left"/>
              <w:rPr>
                <w:rFonts w:hint="eastAsia" w:ascii="仿宋" w:hAnsi="仿宋" w:eastAsia="仿宋" w:cs="仿宋"/>
                <w:color w:val="auto"/>
                <w:szCs w:val="21"/>
                <w:highlight w:val="none"/>
              </w:rPr>
            </w:pPr>
          </w:p>
        </w:tc>
      </w:tr>
      <w:tr w14:paraId="4B07A6DB">
        <w:tblPrEx>
          <w:tblCellMar>
            <w:top w:w="0" w:type="dxa"/>
            <w:left w:w="108" w:type="dxa"/>
            <w:bottom w:w="0" w:type="dxa"/>
            <w:right w:w="108" w:type="dxa"/>
          </w:tblCellMar>
        </w:tblPrEx>
        <w:trPr>
          <w:trHeight w:val="1380" w:hRule="atLeast"/>
          <w:jc w:val="center"/>
        </w:trPr>
        <w:tc>
          <w:tcPr>
            <w:tcW w:w="636" w:type="dxa"/>
            <w:vMerge w:val="continue"/>
            <w:tcBorders>
              <w:top w:val="single" w:color="000000" w:sz="4" w:space="0"/>
              <w:left w:val="single" w:color="000000" w:sz="4" w:space="0"/>
              <w:bottom w:val="single" w:color="000000" w:sz="4" w:space="0"/>
              <w:right w:val="single" w:color="000000" w:sz="4" w:space="0"/>
            </w:tcBorders>
            <w:vAlign w:val="center"/>
          </w:tcPr>
          <w:p w14:paraId="7B05E3C2">
            <w:pPr>
              <w:jc w:val="center"/>
              <w:rPr>
                <w:rFonts w:hint="eastAsia" w:ascii="仿宋" w:hAnsi="仿宋" w:eastAsia="仿宋" w:cs="仿宋"/>
                <w:color w:val="auto"/>
                <w:szCs w:val="21"/>
                <w:highlight w:val="none"/>
              </w:rPr>
            </w:pPr>
          </w:p>
        </w:tc>
        <w:tc>
          <w:tcPr>
            <w:tcW w:w="1140" w:type="dxa"/>
            <w:vMerge w:val="continue"/>
            <w:tcBorders>
              <w:top w:val="single" w:color="000000" w:sz="4" w:space="0"/>
              <w:left w:val="single" w:color="000000" w:sz="4" w:space="0"/>
              <w:bottom w:val="single" w:color="000000" w:sz="4" w:space="0"/>
              <w:right w:val="single" w:color="000000" w:sz="4" w:space="0"/>
            </w:tcBorders>
            <w:vAlign w:val="center"/>
          </w:tcPr>
          <w:p w14:paraId="0D34C876">
            <w:pPr>
              <w:jc w:val="left"/>
              <w:rPr>
                <w:rFonts w:hint="eastAsia" w:ascii="仿宋" w:hAnsi="仿宋" w:eastAsia="仿宋" w:cs="仿宋"/>
                <w:color w:val="auto"/>
                <w:szCs w:val="21"/>
                <w:highlight w:val="none"/>
              </w:rPr>
            </w:pPr>
          </w:p>
        </w:tc>
        <w:tc>
          <w:tcPr>
            <w:tcW w:w="2648" w:type="dxa"/>
            <w:gridSpan w:val="2"/>
            <w:tcBorders>
              <w:top w:val="single" w:color="000000" w:sz="4" w:space="0"/>
              <w:left w:val="single" w:color="000000" w:sz="4" w:space="0"/>
              <w:bottom w:val="single" w:color="000000" w:sz="4" w:space="0"/>
              <w:right w:val="single" w:color="000000" w:sz="4" w:space="0"/>
            </w:tcBorders>
            <w:vAlign w:val="center"/>
          </w:tcPr>
          <w:p w14:paraId="613979D5">
            <w:pPr>
              <w:widowControl/>
              <w:jc w:val="left"/>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由于</w:t>
            </w:r>
            <w:r>
              <w:rPr>
                <w:rFonts w:hint="eastAsia" w:ascii="仿宋" w:hAnsi="仿宋" w:eastAsia="仿宋" w:cs="仿宋"/>
                <w:color w:val="auto"/>
                <w:kern w:val="0"/>
                <w:szCs w:val="21"/>
                <w:highlight w:val="none"/>
                <w:lang w:eastAsia="zh-CN"/>
              </w:rPr>
              <w:t>服务商</w:t>
            </w:r>
            <w:r>
              <w:rPr>
                <w:rFonts w:hint="eastAsia" w:ascii="仿宋" w:hAnsi="仿宋" w:eastAsia="仿宋" w:cs="仿宋"/>
                <w:color w:val="auto"/>
                <w:kern w:val="0"/>
                <w:szCs w:val="21"/>
                <w:highlight w:val="none"/>
              </w:rPr>
              <w:t>版本实施操作不当导致系统故障的；在规定实施版本时间未提交程序版本或实施人员未到位的。</w:t>
            </w:r>
          </w:p>
        </w:tc>
        <w:tc>
          <w:tcPr>
            <w:tcW w:w="2809" w:type="dxa"/>
            <w:tcBorders>
              <w:top w:val="single" w:color="000000" w:sz="4" w:space="0"/>
              <w:left w:val="single" w:color="000000" w:sz="4" w:space="0"/>
              <w:bottom w:val="single" w:color="000000" w:sz="4" w:space="0"/>
              <w:right w:val="single" w:color="000000" w:sz="4" w:space="0"/>
            </w:tcBorders>
            <w:vAlign w:val="center"/>
          </w:tcPr>
          <w:p w14:paraId="3D856C69">
            <w:pPr>
              <w:widowControl/>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由于</w:t>
            </w:r>
            <w:r>
              <w:rPr>
                <w:rFonts w:hint="eastAsia" w:ascii="仿宋" w:hAnsi="仿宋" w:eastAsia="仿宋" w:cs="仿宋"/>
                <w:color w:val="auto"/>
                <w:kern w:val="0"/>
                <w:szCs w:val="21"/>
                <w:highlight w:val="none"/>
                <w:lang w:eastAsia="zh-CN"/>
              </w:rPr>
              <w:t>服务商</w:t>
            </w:r>
            <w:r>
              <w:rPr>
                <w:rFonts w:hint="eastAsia" w:ascii="仿宋" w:hAnsi="仿宋" w:eastAsia="仿宋" w:cs="仿宋"/>
                <w:color w:val="auto"/>
                <w:kern w:val="0"/>
                <w:szCs w:val="21"/>
                <w:highlight w:val="none"/>
              </w:rPr>
              <w:t>版本实施操作不当导致系统故障的，每发生一次扣10分；</w:t>
            </w:r>
          </w:p>
          <w:p w14:paraId="5E75268F">
            <w:pPr>
              <w:widowControl/>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在规定实施版本时间未提交程序版本的，每发生一次扣10分；</w:t>
            </w:r>
          </w:p>
          <w:p w14:paraId="5B861EB9">
            <w:pPr>
              <w:widowControl/>
              <w:jc w:val="left"/>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在规定实施版本时间实施人员未到位的，每发生一次扣5分。</w:t>
            </w:r>
          </w:p>
        </w:tc>
        <w:tc>
          <w:tcPr>
            <w:tcW w:w="722" w:type="dxa"/>
            <w:vMerge w:val="continue"/>
            <w:tcBorders>
              <w:left w:val="single" w:color="000000" w:sz="4" w:space="0"/>
              <w:bottom w:val="single" w:color="000000" w:sz="4" w:space="0"/>
              <w:right w:val="single" w:color="000000" w:sz="4" w:space="0"/>
            </w:tcBorders>
            <w:vAlign w:val="center"/>
          </w:tcPr>
          <w:p w14:paraId="021DFD13">
            <w:pPr>
              <w:jc w:val="left"/>
              <w:rPr>
                <w:rFonts w:hint="eastAsia" w:ascii="仿宋" w:hAnsi="仿宋" w:eastAsia="仿宋" w:cs="仿宋"/>
                <w:color w:val="auto"/>
                <w:szCs w:val="21"/>
                <w:highlight w:val="none"/>
              </w:rPr>
            </w:pPr>
          </w:p>
        </w:tc>
        <w:tc>
          <w:tcPr>
            <w:tcW w:w="791" w:type="dxa"/>
            <w:vMerge w:val="continue"/>
            <w:tcBorders>
              <w:left w:val="single" w:color="000000" w:sz="4" w:space="0"/>
              <w:bottom w:val="single" w:color="000000" w:sz="4" w:space="0"/>
              <w:right w:val="single" w:color="000000" w:sz="4" w:space="0"/>
            </w:tcBorders>
            <w:vAlign w:val="center"/>
          </w:tcPr>
          <w:p w14:paraId="2DDA8206">
            <w:pPr>
              <w:jc w:val="left"/>
              <w:rPr>
                <w:rFonts w:hint="eastAsia" w:ascii="仿宋" w:hAnsi="仿宋" w:eastAsia="仿宋" w:cs="仿宋"/>
                <w:color w:val="auto"/>
                <w:szCs w:val="21"/>
                <w:highlight w:val="none"/>
              </w:rPr>
            </w:pPr>
          </w:p>
        </w:tc>
        <w:tc>
          <w:tcPr>
            <w:tcW w:w="777" w:type="dxa"/>
            <w:vMerge w:val="continue"/>
            <w:tcBorders>
              <w:left w:val="single" w:color="000000" w:sz="4" w:space="0"/>
              <w:bottom w:val="single" w:color="000000" w:sz="4" w:space="0"/>
              <w:right w:val="single" w:color="000000" w:sz="4" w:space="0"/>
            </w:tcBorders>
            <w:vAlign w:val="center"/>
          </w:tcPr>
          <w:p w14:paraId="6942F997">
            <w:pPr>
              <w:jc w:val="left"/>
              <w:rPr>
                <w:rFonts w:hint="eastAsia" w:ascii="仿宋" w:hAnsi="仿宋" w:eastAsia="仿宋" w:cs="仿宋"/>
                <w:color w:val="auto"/>
                <w:szCs w:val="21"/>
                <w:highlight w:val="none"/>
              </w:rPr>
            </w:pPr>
          </w:p>
        </w:tc>
      </w:tr>
      <w:tr w14:paraId="7157828D">
        <w:tblPrEx>
          <w:tblCellMar>
            <w:top w:w="0" w:type="dxa"/>
            <w:left w:w="108" w:type="dxa"/>
            <w:bottom w:w="0" w:type="dxa"/>
            <w:right w:w="108" w:type="dxa"/>
          </w:tblCellMar>
        </w:tblPrEx>
        <w:trPr>
          <w:trHeight w:val="312" w:hRule="atLeast"/>
          <w:jc w:val="center"/>
        </w:trPr>
        <w:tc>
          <w:tcPr>
            <w:tcW w:w="636" w:type="dxa"/>
            <w:vMerge w:val="restart"/>
            <w:tcBorders>
              <w:top w:val="single" w:color="000000" w:sz="4" w:space="0"/>
              <w:left w:val="single" w:color="000000" w:sz="4" w:space="0"/>
              <w:bottom w:val="single" w:color="000000" w:sz="4" w:space="0"/>
              <w:right w:val="single" w:color="000000" w:sz="4" w:space="0"/>
            </w:tcBorders>
            <w:vAlign w:val="center"/>
          </w:tcPr>
          <w:p w14:paraId="18B375BB">
            <w:pPr>
              <w:widowControl/>
              <w:jc w:val="left"/>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8</w:t>
            </w:r>
          </w:p>
        </w:tc>
        <w:tc>
          <w:tcPr>
            <w:tcW w:w="1140" w:type="dxa"/>
            <w:vMerge w:val="restart"/>
            <w:tcBorders>
              <w:top w:val="single" w:color="000000" w:sz="4" w:space="0"/>
              <w:left w:val="single" w:color="000000" w:sz="4" w:space="0"/>
              <w:bottom w:val="single" w:color="000000" w:sz="4" w:space="0"/>
              <w:right w:val="single" w:color="000000" w:sz="4" w:space="0"/>
            </w:tcBorders>
            <w:vAlign w:val="center"/>
          </w:tcPr>
          <w:p w14:paraId="39A30845">
            <w:pPr>
              <w:widowControl/>
              <w:jc w:val="left"/>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紧急现场服务响应</w:t>
            </w:r>
          </w:p>
        </w:tc>
        <w:tc>
          <w:tcPr>
            <w:tcW w:w="2648"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B543067">
            <w:pPr>
              <w:widowControl/>
              <w:jc w:val="left"/>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lang w:eastAsia="zh-CN"/>
              </w:rPr>
              <w:t>服务商</w:t>
            </w:r>
            <w:r>
              <w:rPr>
                <w:rFonts w:hint="eastAsia" w:ascii="仿宋" w:hAnsi="仿宋" w:eastAsia="仿宋" w:cs="仿宋"/>
                <w:color w:val="auto"/>
                <w:kern w:val="0"/>
                <w:szCs w:val="21"/>
                <w:highlight w:val="none"/>
              </w:rPr>
              <w:t>在版本发布后一周内需监控系统运行情况，并积极响应各类问题处理。（1）因BUG引起故障的，应在4小时内提供修复方案和脚本提交采购人审核后安排实施。（2）</w:t>
            </w:r>
            <w:r>
              <w:rPr>
                <w:rFonts w:hint="eastAsia" w:ascii="仿宋" w:hAnsi="仿宋" w:eastAsia="仿宋" w:cs="仿宋"/>
                <w:color w:val="auto"/>
                <w:kern w:val="0"/>
                <w:szCs w:val="21"/>
                <w:highlight w:val="none"/>
                <w:lang w:eastAsia="zh-CN"/>
              </w:rPr>
              <w:t>服务商</w:t>
            </w:r>
            <w:r>
              <w:rPr>
                <w:rFonts w:hint="eastAsia" w:ascii="仿宋" w:hAnsi="仿宋" w:eastAsia="仿宋" w:cs="仿宋"/>
                <w:color w:val="auto"/>
                <w:kern w:val="0"/>
                <w:szCs w:val="21"/>
                <w:highlight w:val="none"/>
              </w:rPr>
              <w:t>需在版本发布后一周内向采购人提交版本发布后质量管控报告，内容需报告发现问题、核查进展和解决情况。</w:t>
            </w:r>
          </w:p>
        </w:tc>
        <w:tc>
          <w:tcPr>
            <w:tcW w:w="2809" w:type="dxa"/>
            <w:vMerge w:val="restart"/>
            <w:tcBorders>
              <w:top w:val="single" w:color="000000" w:sz="4" w:space="0"/>
              <w:left w:val="single" w:color="000000" w:sz="4" w:space="0"/>
              <w:bottom w:val="single" w:color="000000" w:sz="4" w:space="0"/>
              <w:right w:val="single" w:color="000000" w:sz="4" w:space="0"/>
            </w:tcBorders>
            <w:vAlign w:val="center"/>
          </w:tcPr>
          <w:p w14:paraId="76614802">
            <w:pPr>
              <w:widowControl/>
              <w:jc w:val="left"/>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不按时修复BUG引起故障的，每次扣5分；不按时提交版本发布后质量管控报告的，每次扣5分。</w:t>
            </w:r>
          </w:p>
        </w:tc>
        <w:tc>
          <w:tcPr>
            <w:tcW w:w="722" w:type="dxa"/>
            <w:vMerge w:val="restart"/>
            <w:tcBorders>
              <w:top w:val="single" w:color="000000" w:sz="4" w:space="0"/>
              <w:left w:val="single" w:color="000000" w:sz="4" w:space="0"/>
              <w:bottom w:val="single" w:color="000000" w:sz="4" w:space="0"/>
              <w:right w:val="single" w:color="000000" w:sz="4" w:space="0"/>
            </w:tcBorders>
            <w:vAlign w:val="center"/>
          </w:tcPr>
          <w:p w14:paraId="5103A1E2">
            <w:pPr>
              <w:jc w:val="left"/>
              <w:rPr>
                <w:rFonts w:hint="eastAsia" w:ascii="仿宋" w:hAnsi="仿宋" w:eastAsia="仿宋" w:cs="仿宋"/>
                <w:color w:val="auto"/>
                <w:szCs w:val="21"/>
                <w:highlight w:val="none"/>
              </w:rPr>
            </w:pPr>
          </w:p>
        </w:tc>
        <w:tc>
          <w:tcPr>
            <w:tcW w:w="791" w:type="dxa"/>
            <w:vMerge w:val="restart"/>
            <w:tcBorders>
              <w:top w:val="single" w:color="000000" w:sz="4" w:space="0"/>
              <w:left w:val="single" w:color="000000" w:sz="4" w:space="0"/>
              <w:bottom w:val="single" w:color="000000" w:sz="4" w:space="0"/>
              <w:right w:val="single" w:color="000000" w:sz="4" w:space="0"/>
            </w:tcBorders>
            <w:vAlign w:val="center"/>
          </w:tcPr>
          <w:p w14:paraId="2730BDCD">
            <w:pPr>
              <w:jc w:val="left"/>
              <w:rPr>
                <w:rFonts w:hint="eastAsia" w:ascii="仿宋" w:hAnsi="仿宋" w:eastAsia="仿宋" w:cs="仿宋"/>
                <w:color w:val="auto"/>
                <w:szCs w:val="21"/>
                <w:highlight w:val="none"/>
              </w:rPr>
            </w:pPr>
          </w:p>
        </w:tc>
        <w:tc>
          <w:tcPr>
            <w:tcW w:w="777" w:type="dxa"/>
            <w:vMerge w:val="restart"/>
            <w:tcBorders>
              <w:top w:val="single" w:color="000000" w:sz="4" w:space="0"/>
              <w:left w:val="single" w:color="000000" w:sz="4" w:space="0"/>
              <w:bottom w:val="single" w:color="000000" w:sz="4" w:space="0"/>
              <w:right w:val="single" w:color="000000" w:sz="4" w:space="0"/>
            </w:tcBorders>
            <w:vAlign w:val="center"/>
          </w:tcPr>
          <w:p w14:paraId="756BD847">
            <w:pPr>
              <w:jc w:val="left"/>
              <w:rPr>
                <w:rFonts w:hint="eastAsia" w:ascii="仿宋" w:hAnsi="仿宋" w:eastAsia="仿宋" w:cs="仿宋"/>
                <w:color w:val="auto"/>
                <w:szCs w:val="21"/>
                <w:highlight w:val="none"/>
              </w:rPr>
            </w:pPr>
          </w:p>
        </w:tc>
      </w:tr>
      <w:tr w14:paraId="572FF9CC">
        <w:trPr>
          <w:trHeight w:val="312" w:hRule="atLeast"/>
          <w:jc w:val="center"/>
        </w:trPr>
        <w:tc>
          <w:tcPr>
            <w:tcW w:w="636" w:type="dxa"/>
            <w:vMerge w:val="continue"/>
            <w:tcBorders>
              <w:top w:val="single" w:color="000000" w:sz="4" w:space="0"/>
              <w:left w:val="single" w:color="000000" w:sz="4" w:space="0"/>
              <w:bottom w:val="single" w:color="000000" w:sz="4" w:space="0"/>
              <w:right w:val="single" w:color="000000" w:sz="4" w:space="0"/>
            </w:tcBorders>
            <w:vAlign w:val="center"/>
          </w:tcPr>
          <w:p w14:paraId="1692769D">
            <w:pPr>
              <w:jc w:val="left"/>
              <w:rPr>
                <w:rFonts w:hint="eastAsia" w:ascii="仿宋" w:hAnsi="仿宋" w:eastAsia="仿宋" w:cs="仿宋"/>
                <w:color w:val="auto"/>
                <w:szCs w:val="21"/>
                <w:highlight w:val="none"/>
              </w:rPr>
            </w:pPr>
          </w:p>
        </w:tc>
        <w:tc>
          <w:tcPr>
            <w:tcW w:w="1140" w:type="dxa"/>
            <w:vMerge w:val="continue"/>
            <w:tcBorders>
              <w:top w:val="single" w:color="000000" w:sz="4" w:space="0"/>
              <w:left w:val="single" w:color="000000" w:sz="4" w:space="0"/>
              <w:bottom w:val="single" w:color="000000" w:sz="4" w:space="0"/>
              <w:right w:val="single" w:color="000000" w:sz="4" w:space="0"/>
            </w:tcBorders>
            <w:vAlign w:val="center"/>
          </w:tcPr>
          <w:p w14:paraId="3CAB6ACC">
            <w:pPr>
              <w:jc w:val="left"/>
              <w:rPr>
                <w:rFonts w:hint="eastAsia" w:ascii="仿宋" w:hAnsi="仿宋" w:eastAsia="仿宋" w:cs="仿宋"/>
                <w:color w:val="auto"/>
                <w:szCs w:val="21"/>
                <w:highlight w:val="none"/>
              </w:rPr>
            </w:pPr>
          </w:p>
        </w:tc>
        <w:tc>
          <w:tcPr>
            <w:tcW w:w="2648"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5A09626">
            <w:pPr>
              <w:jc w:val="left"/>
              <w:rPr>
                <w:rFonts w:hint="eastAsia" w:ascii="仿宋" w:hAnsi="仿宋" w:eastAsia="仿宋" w:cs="仿宋"/>
                <w:color w:val="auto"/>
                <w:szCs w:val="21"/>
                <w:highlight w:val="none"/>
              </w:rPr>
            </w:pPr>
          </w:p>
        </w:tc>
        <w:tc>
          <w:tcPr>
            <w:tcW w:w="2809" w:type="dxa"/>
            <w:vMerge w:val="continue"/>
            <w:tcBorders>
              <w:top w:val="single" w:color="000000" w:sz="4" w:space="0"/>
              <w:left w:val="single" w:color="000000" w:sz="4" w:space="0"/>
              <w:bottom w:val="single" w:color="000000" w:sz="4" w:space="0"/>
              <w:right w:val="single" w:color="000000" w:sz="4" w:space="0"/>
            </w:tcBorders>
            <w:vAlign w:val="center"/>
          </w:tcPr>
          <w:p w14:paraId="5A9E41B8">
            <w:pPr>
              <w:jc w:val="left"/>
              <w:rPr>
                <w:rFonts w:hint="eastAsia" w:ascii="仿宋" w:hAnsi="仿宋" w:eastAsia="仿宋" w:cs="仿宋"/>
                <w:color w:val="auto"/>
                <w:szCs w:val="21"/>
                <w:highlight w:val="none"/>
              </w:rPr>
            </w:pPr>
          </w:p>
        </w:tc>
        <w:tc>
          <w:tcPr>
            <w:tcW w:w="722" w:type="dxa"/>
            <w:vMerge w:val="continue"/>
            <w:tcBorders>
              <w:top w:val="single" w:color="000000" w:sz="4" w:space="0"/>
              <w:left w:val="single" w:color="000000" w:sz="4" w:space="0"/>
              <w:bottom w:val="single" w:color="000000" w:sz="4" w:space="0"/>
              <w:right w:val="single" w:color="000000" w:sz="4" w:space="0"/>
            </w:tcBorders>
            <w:vAlign w:val="center"/>
          </w:tcPr>
          <w:p w14:paraId="4AA089F7">
            <w:pPr>
              <w:jc w:val="left"/>
              <w:rPr>
                <w:rFonts w:hint="eastAsia" w:ascii="仿宋" w:hAnsi="仿宋" w:eastAsia="仿宋" w:cs="仿宋"/>
                <w:color w:val="auto"/>
                <w:szCs w:val="21"/>
                <w:highlight w:val="none"/>
              </w:rPr>
            </w:pPr>
          </w:p>
        </w:tc>
        <w:tc>
          <w:tcPr>
            <w:tcW w:w="791" w:type="dxa"/>
            <w:vMerge w:val="continue"/>
            <w:tcBorders>
              <w:top w:val="single" w:color="000000" w:sz="4" w:space="0"/>
              <w:left w:val="single" w:color="000000" w:sz="4" w:space="0"/>
              <w:bottom w:val="single" w:color="000000" w:sz="4" w:space="0"/>
              <w:right w:val="single" w:color="000000" w:sz="4" w:space="0"/>
            </w:tcBorders>
            <w:vAlign w:val="center"/>
          </w:tcPr>
          <w:p w14:paraId="23F762A2">
            <w:pPr>
              <w:jc w:val="left"/>
              <w:rPr>
                <w:rFonts w:hint="eastAsia" w:ascii="仿宋" w:hAnsi="仿宋" w:eastAsia="仿宋" w:cs="仿宋"/>
                <w:color w:val="auto"/>
                <w:szCs w:val="21"/>
                <w:highlight w:val="none"/>
              </w:rPr>
            </w:pPr>
          </w:p>
        </w:tc>
        <w:tc>
          <w:tcPr>
            <w:tcW w:w="777" w:type="dxa"/>
            <w:vMerge w:val="continue"/>
            <w:tcBorders>
              <w:top w:val="single" w:color="000000" w:sz="4" w:space="0"/>
              <w:left w:val="single" w:color="000000" w:sz="4" w:space="0"/>
              <w:bottom w:val="single" w:color="000000" w:sz="4" w:space="0"/>
              <w:right w:val="single" w:color="000000" w:sz="4" w:space="0"/>
            </w:tcBorders>
            <w:vAlign w:val="center"/>
          </w:tcPr>
          <w:p w14:paraId="7144C8C3">
            <w:pPr>
              <w:jc w:val="left"/>
              <w:rPr>
                <w:rFonts w:hint="eastAsia" w:ascii="仿宋" w:hAnsi="仿宋" w:eastAsia="仿宋" w:cs="仿宋"/>
                <w:color w:val="auto"/>
                <w:szCs w:val="21"/>
                <w:highlight w:val="none"/>
              </w:rPr>
            </w:pPr>
          </w:p>
        </w:tc>
      </w:tr>
      <w:tr w14:paraId="0081C1FC">
        <w:trPr>
          <w:trHeight w:val="940" w:hRule="atLeast"/>
          <w:jc w:val="center"/>
        </w:trPr>
        <w:tc>
          <w:tcPr>
            <w:tcW w:w="636" w:type="dxa"/>
            <w:vMerge w:val="continue"/>
            <w:tcBorders>
              <w:top w:val="single" w:color="000000" w:sz="4" w:space="0"/>
              <w:left w:val="single" w:color="000000" w:sz="4" w:space="0"/>
              <w:bottom w:val="single" w:color="000000" w:sz="4" w:space="0"/>
              <w:right w:val="single" w:color="000000" w:sz="4" w:space="0"/>
            </w:tcBorders>
            <w:vAlign w:val="center"/>
          </w:tcPr>
          <w:p w14:paraId="1423A95F">
            <w:pPr>
              <w:jc w:val="left"/>
              <w:rPr>
                <w:rFonts w:hint="eastAsia" w:ascii="仿宋" w:hAnsi="仿宋" w:eastAsia="仿宋" w:cs="仿宋"/>
                <w:color w:val="auto"/>
                <w:szCs w:val="21"/>
                <w:highlight w:val="none"/>
              </w:rPr>
            </w:pPr>
          </w:p>
        </w:tc>
        <w:tc>
          <w:tcPr>
            <w:tcW w:w="1140" w:type="dxa"/>
            <w:vMerge w:val="continue"/>
            <w:tcBorders>
              <w:top w:val="single" w:color="000000" w:sz="4" w:space="0"/>
              <w:left w:val="single" w:color="000000" w:sz="4" w:space="0"/>
              <w:bottom w:val="single" w:color="000000" w:sz="4" w:space="0"/>
              <w:right w:val="single" w:color="000000" w:sz="4" w:space="0"/>
            </w:tcBorders>
            <w:vAlign w:val="center"/>
          </w:tcPr>
          <w:p w14:paraId="40A1ED42">
            <w:pPr>
              <w:jc w:val="left"/>
              <w:rPr>
                <w:rFonts w:hint="eastAsia" w:ascii="仿宋" w:hAnsi="仿宋" w:eastAsia="仿宋" w:cs="仿宋"/>
                <w:color w:val="auto"/>
                <w:szCs w:val="21"/>
                <w:highlight w:val="none"/>
              </w:rPr>
            </w:pPr>
          </w:p>
        </w:tc>
        <w:tc>
          <w:tcPr>
            <w:tcW w:w="2648"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76EE949">
            <w:pPr>
              <w:jc w:val="left"/>
              <w:rPr>
                <w:rFonts w:hint="eastAsia" w:ascii="仿宋" w:hAnsi="仿宋" w:eastAsia="仿宋" w:cs="仿宋"/>
                <w:color w:val="auto"/>
                <w:szCs w:val="21"/>
                <w:highlight w:val="none"/>
              </w:rPr>
            </w:pPr>
          </w:p>
        </w:tc>
        <w:tc>
          <w:tcPr>
            <w:tcW w:w="2809" w:type="dxa"/>
            <w:vMerge w:val="continue"/>
            <w:tcBorders>
              <w:top w:val="single" w:color="000000" w:sz="4" w:space="0"/>
              <w:left w:val="single" w:color="000000" w:sz="4" w:space="0"/>
              <w:bottom w:val="single" w:color="000000" w:sz="4" w:space="0"/>
              <w:right w:val="single" w:color="000000" w:sz="4" w:space="0"/>
            </w:tcBorders>
            <w:vAlign w:val="center"/>
          </w:tcPr>
          <w:p w14:paraId="23F2F589">
            <w:pPr>
              <w:jc w:val="left"/>
              <w:rPr>
                <w:rFonts w:hint="eastAsia" w:ascii="仿宋" w:hAnsi="仿宋" w:eastAsia="仿宋" w:cs="仿宋"/>
                <w:color w:val="auto"/>
                <w:szCs w:val="21"/>
                <w:highlight w:val="none"/>
              </w:rPr>
            </w:pPr>
          </w:p>
        </w:tc>
        <w:tc>
          <w:tcPr>
            <w:tcW w:w="722" w:type="dxa"/>
            <w:vMerge w:val="continue"/>
            <w:tcBorders>
              <w:top w:val="single" w:color="000000" w:sz="4" w:space="0"/>
              <w:left w:val="single" w:color="000000" w:sz="4" w:space="0"/>
              <w:bottom w:val="single" w:color="000000" w:sz="4" w:space="0"/>
              <w:right w:val="single" w:color="000000" w:sz="4" w:space="0"/>
            </w:tcBorders>
            <w:vAlign w:val="center"/>
          </w:tcPr>
          <w:p w14:paraId="7FC4A23B">
            <w:pPr>
              <w:jc w:val="left"/>
              <w:rPr>
                <w:rFonts w:hint="eastAsia" w:ascii="仿宋" w:hAnsi="仿宋" w:eastAsia="仿宋" w:cs="仿宋"/>
                <w:color w:val="auto"/>
                <w:szCs w:val="21"/>
                <w:highlight w:val="none"/>
              </w:rPr>
            </w:pPr>
          </w:p>
        </w:tc>
        <w:tc>
          <w:tcPr>
            <w:tcW w:w="791" w:type="dxa"/>
            <w:vMerge w:val="continue"/>
            <w:tcBorders>
              <w:top w:val="single" w:color="000000" w:sz="4" w:space="0"/>
              <w:left w:val="single" w:color="000000" w:sz="4" w:space="0"/>
              <w:bottom w:val="single" w:color="000000" w:sz="4" w:space="0"/>
              <w:right w:val="single" w:color="000000" w:sz="4" w:space="0"/>
            </w:tcBorders>
            <w:vAlign w:val="center"/>
          </w:tcPr>
          <w:p w14:paraId="3EE06E4E">
            <w:pPr>
              <w:jc w:val="left"/>
              <w:rPr>
                <w:rFonts w:hint="eastAsia" w:ascii="仿宋" w:hAnsi="仿宋" w:eastAsia="仿宋" w:cs="仿宋"/>
                <w:color w:val="auto"/>
                <w:szCs w:val="21"/>
                <w:highlight w:val="none"/>
              </w:rPr>
            </w:pPr>
          </w:p>
        </w:tc>
        <w:tc>
          <w:tcPr>
            <w:tcW w:w="777" w:type="dxa"/>
            <w:vMerge w:val="continue"/>
            <w:tcBorders>
              <w:top w:val="single" w:color="000000" w:sz="4" w:space="0"/>
              <w:left w:val="single" w:color="000000" w:sz="4" w:space="0"/>
              <w:bottom w:val="single" w:color="000000" w:sz="4" w:space="0"/>
              <w:right w:val="single" w:color="000000" w:sz="4" w:space="0"/>
            </w:tcBorders>
            <w:vAlign w:val="center"/>
          </w:tcPr>
          <w:p w14:paraId="02E0104A">
            <w:pPr>
              <w:jc w:val="left"/>
              <w:rPr>
                <w:rFonts w:hint="eastAsia" w:ascii="仿宋" w:hAnsi="仿宋" w:eastAsia="仿宋" w:cs="仿宋"/>
                <w:color w:val="auto"/>
                <w:szCs w:val="21"/>
                <w:highlight w:val="none"/>
              </w:rPr>
            </w:pPr>
          </w:p>
        </w:tc>
      </w:tr>
      <w:tr w14:paraId="56632630">
        <w:tblPrEx>
          <w:tblCellMar>
            <w:top w:w="0" w:type="dxa"/>
            <w:left w:w="108" w:type="dxa"/>
            <w:bottom w:w="0" w:type="dxa"/>
            <w:right w:w="108" w:type="dxa"/>
          </w:tblCellMar>
        </w:tblPrEx>
        <w:trPr>
          <w:trHeight w:val="690" w:hRule="atLeast"/>
          <w:jc w:val="center"/>
        </w:trPr>
        <w:tc>
          <w:tcPr>
            <w:tcW w:w="636" w:type="dxa"/>
            <w:tcBorders>
              <w:top w:val="single" w:color="000000" w:sz="4" w:space="0"/>
              <w:left w:val="single" w:color="000000" w:sz="4" w:space="0"/>
              <w:bottom w:val="single" w:color="000000" w:sz="4" w:space="0"/>
              <w:right w:val="single" w:color="000000" w:sz="4" w:space="0"/>
            </w:tcBorders>
            <w:vAlign w:val="center"/>
          </w:tcPr>
          <w:p w14:paraId="296855A5">
            <w:pPr>
              <w:widowControl/>
              <w:jc w:val="left"/>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9</w:t>
            </w:r>
          </w:p>
        </w:tc>
        <w:tc>
          <w:tcPr>
            <w:tcW w:w="1140" w:type="dxa"/>
            <w:tcBorders>
              <w:top w:val="single" w:color="000000" w:sz="4" w:space="0"/>
              <w:left w:val="single" w:color="000000" w:sz="4" w:space="0"/>
              <w:bottom w:val="single" w:color="000000" w:sz="4" w:space="0"/>
              <w:right w:val="single" w:color="000000" w:sz="4" w:space="0"/>
            </w:tcBorders>
            <w:vAlign w:val="center"/>
          </w:tcPr>
          <w:p w14:paraId="1272E0F9">
            <w:pPr>
              <w:widowControl/>
              <w:jc w:val="left"/>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巡检服务情况</w:t>
            </w:r>
          </w:p>
        </w:tc>
        <w:tc>
          <w:tcPr>
            <w:tcW w:w="2648" w:type="dxa"/>
            <w:gridSpan w:val="2"/>
            <w:tcBorders>
              <w:top w:val="single" w:color="000000" w:sz="4" w:space="0"/>
              <w:left w:val="single" w:color="000000" w:sz="4" w:space="0"/>
              <w:bottom w:val="single" w:color="000000" w:sz="4" w:space="0"/>
              <w:right w:val="single" w:color="000000" w:sz="4" w:space="0"/>
            </w:tcBorders>
            <w:vAlign w:val="center"/>
          </w:tcPr>
          <w:p w14:paraId="470BC970">
            <w:pPr>
              <w:widowControl/>
              <w:jc w:val="left"/>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lang w:eastAsia="zh-CN"/>
              </w:rPr>
              <w:t>服务商</w:t>
            </w:r>
            <w:r>
              <w:rPr>
                <w:rFonts w:hint="eastAsia" w:ascii="仿宋" w:hAnsi="仿宋" w:eastAsia="仿宋" w:cs="仿宋"/>
                <w:color w:val="auto"/>
                <w:kern w:val="0"/>
                <w:szCs w:val="21"/>
                <w:highlight w:val="none"/>
              </w:rPr>
              <w:t>需每季度对采购人HIS系统运行情况进行巡检，并在季度后的15天内向采购人提交巡检报告。</w:t>
            </w:r>
          </w:p>
        </w:tc>
        <w:tc>
          <w:tcPr>
            <w:tcW w:w="2809" w:type="dxa"/>
            <w:tcBorders>
              <w:top w:val="single" w:color="000000" w:sz="4" w:space="0"/>
              <w:left w:val="single" w:color="000000" w:sz="4" w:space="0"/>
              <w:bottom w:val="single" w:color="000000" w:sz="4" w:space="0"/>
              <w:right w:val="single" w:color="000000" w:sz="4" w:space="0"/>
            </w:tcBorders>
            <w:vAlign w:val="center"/>
          </w:tcPr>
          <w:p w14:paraId="553F1ECC">
            <w:pPr>
              <w:widowControl/>
              <w:jc w:val="left"/>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每缺少一项内容，扣10分。</w:t>
            </w:r>
          </w:p>
        </w:tc>
        <w:tc>
          <w:tcPr>
            <w:tcW w:w="722" w:type="dxa"/>
            <w:tcBorders>
              <w:top w:val="single" w:color="000000" w:sz="4" w:space="0"/>
              <w:left w:val="single" w:color="000000" w:sz="4" w:space="0"/>
              <w:bottom w:val="single" w:color="000000" w:sz="4" w:space="0"/>
              <w:right w:val="single" w:color="000000" w:sz="4" w:space="0"/>
            </w:tcBorders>
            <w:vAlign w:val="center"/>
          </w:tcPr>
          <w:p w14:paraId="6C74C0BD">
            <w:pPr>
              <w:jc w:val="left"/>
              <w:rPr>
                <w:rFonts w:hint="eastAsia" w:ascii="仿宋" w:hAnsi="仿宋" w:eastAsia="仿宋" w:cs="仿宋"/>
                <w:color w:val="auto"/>
                <w:szCs w:val="21"/>
                <w:highlight w:val="none"/>
              </w:rPr>
            </w:pPr>
          </w:p>
        </w:tc>
        <w:tc>
          <w:tcPr>
            <w:tcW w:w="791" w:type="dxa"/>
            <w:tcBorders>
              <w:top w:val="single" w:color="000000" w:sz="4" w:space="0"/>
              <w:left w:val="single" w:color="000000" w:sz="4" w:space="0"/>
              <w:bottom w:val="single" w:color="000000" w:sz="4" w:space="0"/>
              <w:right w:val="single" w:color="000000" w:sz="4" w:space="0"/>
            </w:tcBorders>
            <w:vAlign w:val="center"/>
          </w:tcPr>
          <w:p w14:paraId="35D6E5AE">
            <w:pPr>
              <w:jc w:val="left"/>
              <w:rPr>
                <w:rFonts w:hint="eastAsia" w:ascii="仿宋" w:hAnsi="仿宋" w:eastAsia="仿宋" w:cs="仿宋"/>
                <w:color w:val="auto"/>
                <w:szCs w:val="21"/>
                <w:highlight w:val="none"/>
              </w:rPr>
            </w:pPr>
          </w:p>
        </w:tc>
        <w:tc>
          <w:tcPr>
            <w:tcW w:w="777" w:type="dxa"/>
            <w:tcBorders>
              <w:top w:val="single" w:color="000000" w:sz="4" w:space="0"/>
              <w:left w:val="single" w:color="000000" w:sz="4" w:space="0"/>
              <w:bottom w:val="single" w:color="000000" w:sz="4" w:space="0"/>
              <w:right w:val="single" w:color="000000" w:sz="4" w:space="0"/>
            </w:tcBorders>
            <w:vAlign w:val="center"/>
          </w:tcPr>
          <w:p w14:paraId="6DD23F5B">
            <w:pPr>
              <w:jc w:val="left"/>
              <w:rPr>
                <w:rFonts w:hint="eastAsia" w:ascii="仿宋" w:hAnsi="仿宋" w:eastAsia="仿宋" w:cs="仿宋"/>
                <w:color w:val="auto"/>
                <w:szCs w:val="21"/>
                <w:highlight w:val="none"/>
              </w:rPr>
            </w:pPr>
          </w:p>
        </w:tc>
      </w:tr>
      <w:tr w14:paraId="34E797E6">
        <w:tblPrEx>
          <w:tblCellMar>
            <w:top w:w="0" w:type="dxa"/>
            <w:left w:w="108" w:type="dxa"/>
            <w:bottom w:w="0" w:type="dxa"/>
            <w:right w:w="108" w:type="dxa"/>
          </w:tblCellMar>
        </w:tblPrEx>
        <w:trPr>
          <w:trHeight w:val="312" w:hRule="atLeast"/>
          <w:jc w:val="center"/>
        </w:trPr>
        <w:tc>
          <w:tcPr>
            <w:tcW w:w="636" w:type="dxa"/>
            <w:vMerge w:val="restart"/>
            <w:tcBorders>
              <w:top w:val="single" w:color="000000" w:sz="4" w:space="0"/>
              <w:left w:val="single" w:color="000000" w:sz="4" w:space="0"/>
              <w:bottom w:val="single" w:color="000000" w:sz="4" w:space="0"/>
              <w:right w:val="single" w:color="000000" w:sz="4" w:space="0"/>
            </w:tcBorders>
            <w:vAlign w:val="center"/>
          </w:tcPr>
          <w:p w14:paraId="3F7D6EF1">
            <w:pPr>
              <w:widowControl/>
              <w:jc w:val="left"/>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10</w:t>
            </w:r>
          </w:p>
        </w:tc>
        <w:tc>
          <w:tcPr>
            <w:tcW w:w="1140" w:type="dxa"/>
            <w:vMerge w:val="restart"/>
            <w:tcBorders>
              <w:top w:val="single" w:color="000000" w:sz="4" w:space="0"/>
              <w:left w:val="single" w:color="000000" w:sz="4" w:space="0"/>
              <w:bottom w:val="single" w:color="000000" w:sz="4" w:space="0"/>
              <w:right w:val="single" w:color="000000" w:sz="4" w:space="0"/>
            </w:tcBorders>
            <w:vAlign w:val="center"/>
          </w:tcPr>
          <w:p w14:paraId="12B28A6E">
            <w:pPr>
              <w:widowControl/>
              <w:jc w:val="left"/>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服务改进措施</w:t>
            </w:r>
          </w:p>
        </w:tc>
        <w:tc>
          <w:tcPr>
            <w:tcW w:w="2648" w:type="dxa"/>
            <w:gridSpan w:val="2"/>
            <w:vMerge w:val="restart"/>
            <w:tcBorders>
              <w:top w:val="single" w:color="000000" w:sz="4" w:space="0"/>
              <w:left w:val="single" w:color="000000" w:sz="4" w:space="0"/>
              <w:bottom w:val="single" w:color="000000" w:sz="4" w:space="0"/>
              <w:right w:val="single" w:color="000000" w:sz="4" w:space="0"/>
            </w:tcBorders>
            <w:vAlign w:val="center"/>
          </w:tcPr>
          <w:p w14:paraId="633EACB7">
            <w:pPr>
              <w:widowControl/>
              <w:jc w:val="left"/>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lang w:eastAsia="zh-CN"/>
              </w:rPr>
              <w:t>服务商</w:t>
            </w:r>
            <w:r>
              <w:rPr>
                <w:rFonts w:hint="eastAsia" w:ascii="仿宋" w:hAnsi="仿宋" w:eastAsia="仿宋" w:cs="仿宋"/>
                <w:color w:val="auto"/>
                <w:kern w:val="0"/>
                <w:szCs w:val="21"/>
                <w:highlight w:val="none"/>
              </w:rPr>
              <w:t>需每季度对采购人HIS系统进行更新、改进服务总结，形成服务改进报告。报告内容需包括但不限于：优化内容，优化前、优化后效果。</w:t>
            </w:r>
          </w:p>
        </w:tc>
        <w:tc>
          <w:tcPr>
            <w:tcW w:w="2809" w:type="dxa"/>
            <w:vMerge w:val="restart"/>
            <w:tcBorders>
              <w:top w:val="single" w:color="000000" w:sz="4" w:space="0"/>
              <w:left w:val="single" w:color="000000" w:sz="4" w:space="0"/>
              <w:bottom w:val="single" w:color="000000" w:sz="4" w:space="0"/>
              <w:right w:val="single" w:color="000000" w:sz="4" w:space="0"/>
            </w:tcBorders>
            <w:vAlign w:val="center"/>
          </w:tcPr>
          <w:p w14:paraId="7411C4EC">
            <w:pPr>
              <w:widowControl/>
              <w:jc w:val="left"/>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每缺少一项内容，扣5分</w:t>
            </w:r>
          </w:p>
        </w:tc>
        <w:tc>
          <w:tcPr>
            <w:tcW w:w="722" w:type="dxa"/>
            <w:vMerge w:val="restart"/>
            <w:tcBorders>
              <w:top w:val="single" w:color="000000" w:sz="4" w:space="0"/>
              <w:left w:val="single" w:color="000000" w:sz="4" w:space="0"/>
              <w:bottom w:val="single" w:color="000000" w:sz="4" w:space="0"/>
              <w:right w:val="single" w:color="000000" w:sz="4" w:space="0"/>
            </w:tcBorders>
            <w:vAlign w:val="center"/>
          </w:tcPr>
          <w:p w14:paraId="542D866E">
            <w:pPr>
              <w:jc w:val="left"/>
              <w:rPr>
                <w:rFonts w:hint="eastAsia" w:ascii="仿宋" w:hAnsi="仿宋" w:eastAsia="仿宋" w:cs="仿宋"/>
                <w:color w:val="auto"/>
                <w:szCs w:val="21"/>
                <w:highlight w:val="none"/>
              </w:rPr>
            </w:pPr>
          </w:p>
        </w:tc>
        <w:tc>
          <w:tcPr>
            <w:tcW w:w="791" w:type="dxa"/>
            <w:vMerge w:val="restart"/>
            <w:tcBorders>
              <w:top w:val="single" w:color="000000" w:sz="4" w:space="0"/>
              <w:left w:val="single" w:color="000000" w:sz="4" w:space="0"/>
              <w:bottom w:val="single" w:color="000000" w:sz="4" w:space="0"/>
              <w:right w:val="single" w:color="000000" w:sz="4" w:space="0"/>
            </w:tcBorders>
            <w:vAlign w:val="center"/>
          </w:tcPr>
          <w:p w14:paraId="262B06B8">
            <w:pPr>
              <w:jc w:val="left"/>
              <w:rPr>
                <w:rFonts w:hint="eastAsia" w:ascii="仿宋" w:hAnsi="仿宋" w:eastAsia="仿宋" w:cs="仿宋"/>
                <w:color w:val="auto"/>
                <w:szCs w:val="21"/>
                <w:highlight w:val="none"/>
              </w:rPr>
            </w:pPr>
          </w:p>
        </w:tc>
        <w:tc>
          <w:tcPr>
            <w:tcW w:w="777" w:type="dxa"/>
            <w:vMerge w:val="restart"/>
            <w:tcBorders>
              <w:top w:val="single" w:color="000000" w:sz="4" w:space="0"/>
              <w:left w:val="single" w:color="000000" w:sz="4" w:space="0"/>
              <w:bottom w:val="single" w:color="000000" w:sz="4" w:space="0"/>
              <w:right w:val="single" w:color="000000" w:sz="4" w:space="0"/>
            </w:tcBorders>
            <w:vAlign w:val="center"/>
          </w:tcPr>
          <w:p w14:paraId="6D223C67">
            <w:pPr>
              <w:jc w:val="left"/>
              <w:rPr>
                <w:rFonts w:hint="eastAsia" w:ascii="仿宋" w:hAnsi="仿宋" w:eastAsia="仿宋" w:cs="仿宋"/>
                <w:color w:val="auto"/>
                <w:szCs w:val="21"/>
                <w:highlight w:val="none"/>
              </w:rPr>
            </w:pPr>
          </w:p>
        </w:tc>
      </w:tr>
      <w:tr w14:paraId="521CDF71">
        <w:trPr>
          <w:trHeight w:val="312" w:hRule="atLeast"/>
          <w:jc w:val="center"/>
        </w:trPr>
        <w:tc>
          <w:tcPr>
            <w:tcW w:w="636" w:type="dxa"/>
            <w:vMerge w:val="continue"/>
            <w:tcBorders>
              <w:top w:val="single" w:color="000000" w:sz="4" w:space="0"/>
              <w:left w:val="single" w:color="000000" w:sz="4" w:space="0"/>
              <w:bottom w:val="single" w:color="000000" w:sz="4" w:space="0"/>
              <w:right w:val="single" w:color="000000" w:sz="4" w:space="0"/>
            </w:tcBorders>
            <w:vAlign w:val="center"/>
          </w:tcPr>
          <w:p w14:paraId="0C6374C7">
            <w:pPr>
              <w:jc w:val="left"/>
              <w:rPr>
                <w:rFonts w:hint="eastAsia" w:ascii="仿宋" w:hAnsi="仿宋" w:eastAsia="仿宋" w:cs="仿宋"/>
                <w:color w:val="auto"/>
                <w:szCs w:val="21"/>
                <w:highlight w:val="none"/>
              </w:rPr>
            </w:pPr>
          </w:p>
        </w:tc>
        <w:tc>
          <w:tcPr>
            <w:tcW w:w="1140" w:type="dxa"/>
            <w:vMerge w:val="continue"/>
            <w:tcBorders>
              <w:top w:val="single" w:color="000000" w:sz="4" w:space="0"/>
              <w:left w:val="single" w:color="000000" w:sz="4" w:space="0"/>
              <w:bottom w:val="single" w:color="000000" w:sz="4" w:space="0"/>
              <w:right w:val="single" w:color="000000" w:sz="4" w:space="0"/>
            </w:tcBorders>
            <w:vAlign w:val="center"/>
          </w:tcPr>
          <w:p w14:paraId="3A2D95F6">
            <w:pPr>
              <w:jc w:val="left"/>
              <w:rPr>
                <w:rFonts w:hint="eastAsia" w:ascii="仿宋" w:hAnsi="仿宋" w:eastAsia="仿宋" w:cs="仿宋"/>
                <w:color w:val="auto"/>
                <w:szCs w:val="21"/>
                <w:highlight w:val="none"/>
              </w:rPr>
            </w:pPr>
          </w:p>
        </w:tc>
        <w:tc>
          <w:tcPr>
            <w:tcW w:w="2648"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863AED3">
            <w:pPr>
              <w:jc w:val="left"/>
              <w:rPr>
                <w:rFonts w:hint="eastAsia" w:ascii="仿宋" w:hAnsi="仿宋" w:eastAsia="仿宋" w:cs="仿宋"/>
                <w:color w:val="auto"/>
                <w:szCs w:val="21"/>
                <w:highlight w:val="none"/>
              </w:rPr>
            </w:pPr>
          </w:p>
        </w:tc>
        <w:tc>
          <w:tcPr>
            <w:tcW w:w="2809" w:type="dxa"/>
            <w:vMerge w:val="continue"/>
            <w:tcBorders>
              <w:top w:val="single" w:color="000000" w:sz="4" w:space="0"/>
              <w:left w:val="single" w:color="000000" w:sz="4" w:space="0"/>
              <w:bottom w:val="single" w:color="000000" w:sz="4" w:space="0"/>
              <w:right w:val="single" w:color="000000" w:sz="4" w:space="0"/>
            </w:tcBorders>
            <w:vAlign w:val="center"/>
          </w:tcPr>
          <w:p w14:paraId="2084ECE5">
            <w:pPr>
              <w:jc w:val="left"/>
              <w:rPr>
                <w:rFonts w:hint="eastAsia" w:ascii="仿宋" w:hAnsi="仿宋" w:eastAsia="仿宋" w:cs="仿宋"/>
                <w:color w:val="auto"/>
                <w:szCs w:val="21"/>
                <w:highlight w:val="none"/>
              </w:rPr>
            </w:pPr>
          </w:p>
        </w:tc>
        <w:tc>
          <w:tcPr>
            <w:tcW w:w="722" w:type="dxa"/>
            <w:vMerge w:val="continue"/>
            <w:tcBorders>
              <w:top w:val="single" w:color="000000" w:sz="4" w:space="0"/>
              <w:left w:val="single" w:color="000000" w:sz="4" w:space="0"/>
              <w:bottom w:val="single" w:color="000000" w:sz="4" w:space="0"/>
              <w:right w:val="single" w:color="000000" w:sz="4" w:space="0"/>
            </w:tcBorders>
            <w:vAlign w:val="center"/>
          </w:tcPr>
          <w:p w14:paraId="49AD0724">
            <w:pPr>
              <w:jc w:val="left"/>
              <w:rPr>
                <w:rFonts w:hint="eastAsia" w:ascii="仿宋" w:hAnsi="仿宋" w:eastAsia="仿宋" w:cs="仿宋"/>
                <w:color w:val="auto"/>
                <w:szCs w:val="21"/>
                <w:highlight w:val="none"/>
              </w:rPr>
            </w:pPr>
          </w:p>
        </w:tc>
        <w:tc>
          <w:tcPr>
            <w:tcW w:w="791" w:type="dxa"/>
            <w:vMerge w:val="continue"/>
            <w:tcBorders>
              <w:top w:val="single" w:color="000000" w:sz="4" w:space="0"/>
              <w:left w:val="single" w:color="000000" w:sz="4" w:space="0"/>
              <w:bottom w:val="single" w:color="000000" w:sz="4" w:space="0"/>
              <w:right w:val="single" w:color="000000" w:sz="4" w:space="0"/>
            </w:tcBorders>
            <w:vAlign w:val="center"/>
          </w:tcPr>
          <w:p w14:paraId="25A52BE7">
            <w:pPr>
              <w:jc w:val="left"/>
              <w:rPr>
                <w:rFonts w:hint="eastAsia" w:ascii="仿宋" w:hAnsi="仿宋" w:eastAsia="仿宋" w:cs="仿宋"/>
                <w:color w:val="auto"/>
                <w:szCs w:val="21"/>
                <w:highlight w:val="none"/>
              </w:rPr>
            </w:pPr>
          </w:p>
        </w:tc>
        <w:tc>
          <w:tcPr>
            <w:tcW w:w="777" w:type="dxa"/>
            <w:vMerge w:val="continue"/>
            <w:tcBorders>
              <w:top w:val="single" w:color="000000" w:sz="4" w:space="0"/>
              <w:left w:val="single" w:color="000000" w:sz="4" w:space="0"/>
              <w:bottom w:val="single" w:color="000000" w:sz="4" w:space="0"/>
              <w:right w:val="single" w:color="000000" w:sz="4" w:space="0"/>
            </w:tcBorders>
            <w:vAlign w:val="center"/>
          </w:tcPr>
          <w:p w14:paraId="07E33A3D">
            <w:pPr>
              <w:jc w:val="left"/>
              <w:rPr>
                <w:rFonts w:hint="eastAsia" w:ascii="仿宋" w:hAnsi="仿宋" w:eastAsia="仿宋" w:cs="仿宋"/>
                <w:color w:val="auto"/>
                <w:szCs w:val="21"/>
                <w:highlight w:val="none"/>
              </w:rPr>
            </w:pPr>
          </w:p>
        </w:tc>
      </w:tr>
      <w:tr w14:paraId="51775488">
        <w:trPr>
          <w:trHeight w:val="500" w:hRule="atLeast"/>
          <w:jc w:val="center"/>
        </w:trPr>
        <w:tc>
          <w:tcPr>
            <w:tcW w:w="636" w:type="dxa"/>
            <w:vMerge w:val="continue"/>
            <w:tcBorders>
              <w:top w:val="single" w:color="000000" w:sz="4" w:space="0"/>
              <w:left w:val="single" w:color="000000" w:sz="4" w:space="0"/>
              <w:bottom w:val="single" w:color="auto" w:sz="4" w:space="0"/>
              <w:right w:val="single" w:color="000000" w:sz="4" w:space="0"/>
            </w:tcBorders>
            <w:vAlign w:val="center"/>
          </w:tcPr>
          <w:p w14:paraId="161ECB2B">
            <w:pPr>
              <w:jc w:val="left"/>
              <w:rPr>
                <w:rFonts w:hint="eastAsia" w:ascii="仿宋" w:hAnsi="仿宋" w:eastAsia="仿宋" w:cs="仿宋"/>
                <w:color w:val="auto"/>
                <w:szCs w:val="21"/>
                <w:highlight w:val="none"/>
              </w:rPr>
            </w:pPr>
          </w:p>
        </w:tc>
        <w:tc>
          <w:tcPr>
            <w:tcW w:w="1140" w:type="dxa"/>
            <w:vMerge w:val="continue"/>
            <w:tcBorders>
              <w:top w:val="single" w:color="000000" w:sz="4" w:space="0"/>
              <w:left w:val="single" w:color="000000" w:sz="4" w:space="0"/>
              <w:bottom w:val="single" w:color="auto" w:sz="4" w:space="0"/>
              <w:right w:val="single" w:color="000000" w:sz="4" w:space="0"/>
            </w:tcBorders>
            <w:vAlign w:val="center"/>
          </w:tcPr>
          <w:p w14:paraId="0E83D87B">
            <w:pPr>
              <w:jc w:val="left"/>
              <w:rPr>
                <w:rFonts w:hint="eastAsia" w:ascii="仿宋" w:hAnsi="仿宋" w:eastAsia="仿宋" w:cs="仿宋"/>
                <w:color w:val="auto"/>
                <w:szCs w:val="21"/>
                <w:highlight w:val="none"/>
              </w:rPr>
            </w:pPr>
          </w:p>
        </w:tc>
        <w:tc>
          <w:tcPr>
            <w:tcW w:w="2648" w:type="dxa"/>
            <w:gridSpan w:val="2"/>
            <w:vMerge w:val="continue"/>
            <w:tcBorders>
              <w:top w:val="single" w:color="000000" w:sz="4" w:space="0"/>
              <w:left w:val="single" w:color="000000" w:sz="4" w:space="0"/>
              <w:bottom w:val="single" w:color="auto" w:sz="4" w:space="0"/>
              <w:right w:val="single" w:color="000000" w:sz="4" w:space="0"/>
            </w:tcBorders>
            <w:vAlign w:val="center"/>
          </w:tcPr>
          <w:p w14:paraId="27896020">
            <w:pPr>
              <w:jc w:val="left"/>
              <w:rPr>
                <w:rFonts w:hint="eastAsia" w:ascii="仿宋" w:hAnsi="仿宋" w:eastAsia="仿宋" w:cs="仿宋"/>
                <w:color w:val="auto"/>
                <w:szCs w:val="21"/>
                <w:highlight w:val="none"/>
              </w:rPr>
            </w:pPr>
          </w:p>
        </w:tc>
        <w:tc>
          <w:tcPr>
            <w:tcW w:w="2809" w:type="dxa"/>
            <w:vMerge w:val="continue"/>
            <w:tcBorders>
              <w:top w:val="single" w:color="000000" w:sz="4" w:space="0"/>
              <w:left w:val="single" w:color="000000" w:sz="4" w:space="0"/>
              <w:bottom w:val="single" w:color="auto" w:sz="4" w:space="0"/>
              <w:right w:val="single" w:color="000000" w:sz="4" w:space="0"/>
            </w:tcBorders>
            <w:vAlign w:val="center"/>
          </w:tcPr>
          <w:p w14:paraId="51586F1E">
            <w:pPr>
              <w:jc w:val="left"/>
              <w:rPr>
                <w:rFonts w:hint="eastAsia" w:ascii="仿宋" w:hAnsi="仿宋" w:eastAsia="仿宋" w:cs="仿宋"/>
                <w:color w:val="auto"/>
                <w:szCs w:val="21"/>
                <w:highlight w:val="none"/>
              </w:rPr>
            </w:pPr>
          </w:p>
        </w:tc>
        <w:tc>
          <w:tcPr>
            <w:tcW w:w="722" w:type="dxa"/>
            <w:vMerge w:val="continue"/>
            <w:tcBorders>
              <w:top w:val="single" w:color="000000" w:sz="4" w:space="0"/>
              <w:left w:val="single" w:color="000000" w:sz="4" w:space="0"/>
              <w:bottom w:val="single" w:color="auto" w:sz="4" w:space="0"/>
              <w:right w:val="single" w:color="000000" w:sz="4" w:space="0"/>
            </w:tcBorders>
            <w:vAlign w:val="center"/>
          </w:tcPr>
          <w:p w14:paraId="11D1107E">
            <w:pPr>
              <w:jc w:val="left"/>
              <w:rPr>
                <w:rFonts w:hint="eastAsia" w:ascii="仿宋" w:hAnsi="仿宋" w:eastAsia="仿宋" w:cs="仿宋"/>
                <w:color w:val="auto"/>
                <w:szCs w:val="21"/>
                <w:highlight w:val="none"/>
              </w:rPr>
            </w:pPr>
          </w:p>
        </w:tc>
        <w:tc>
          <w:tcPr>
            <w:tcW w:w="791" w:type="dxa"/>
            <w:vMerge w:val="continue"/>
            <w:tcBorders>
              <w:top w:val="single" w:color="000000" w:sz="4" w:space="0"/>
              <w:left w:val="single" w:color="000000" w:sz="4" w:space="0"/>
              <w:bottom w:val="single" w:color="auto" w:sz="4" w:space="0"/>
              <w:right w:val="single" w:color="000000" w:sz="4" w:space="0"/>
            </w:tcBorders>
            <w:vAlign w:val="center"/>
          </w:tcPr>
          <w:p w14:paraId="237A9A5F">
            <w:pPr>
              <w:jc w:val="left"/>
              <w:rPr>
                <w:rFonts w:hint="eastAsia" w:ascii="仿宋" w:hAnsi="仿宋" w:eastAsia="仿宋" w:cs="仿宋"/>
                <w:color w:val="auto"/>
                <w:szCs w:val="21"/>
                <w:highlight w:val="none"/>
              </w:rPr>
            </w:pPr>
          </w:p>
        </w:tc>
        <w:tc>
          <w:tcPr>
            <w:tcW w:w="777" w:type="dxa"/>
            <w:vMerge w:val="continue"/>
            <w:tcBorders>
              <w:top w:val="single" w:color="000000" w:sz="4" w:space="0"/>
              <w:left w:val="single" w:color="000000" w:sz="4" w:space="0"/>
              <w:bottom w:val="single" w:color="auto" w:sz="4" w:space="0"/>
              <w:right w:val="single" w:color="000000" w:sz="4" w:space="0"/>
            </w:tcBorders>
            <w:vAlign w:val="center"/>
          </w:tcPr>
          <w:p w14:paraId="75E6AEC9">
            <w:pPr>
              <w:jc w:val="left"/>
              <w:rPr>
                <w:rFonts w:hint="eastAsia" w:ascii="仿宋" w:hAnsi="仿宋" w:eastAsia="仿宋" w:cs="仿宋"/>
                <w:color w:val="auto"/>
                <w:szCs w:val="21"/>
                <w:highlight w:val="none"/>
              </w:rPr>
            </w:pPr>
          </w:p>
        </w:tc>
      </w:tr>
      <w:tr w14:paraId="6B9BC563">
        <w:trPr>
          <w:trHeight w:val="500" w:hRule="atLeast"/>
          <w:jc w:val="center"/>
        </w:trPr>
        <w:tc>
          <w:tcPr>
            <w:tcW w:w="636" w:type="dxa"/>
            <w:tcBorders>
              <w:top w:val="single" w:color="000000" w:sz="4" w:space="0"/>
              <w:left w:val="single" w:color="000000" w:sz="4" w:space="0"/>
              <w:bottom w:val="single" w:color="auto" w:sz="4" w:space="0"/>
              <w:right w:val="single" w:color="000000" w:sz="4" w:space="0"/>
            </w:tcBorders>
            <w:vAlign w:val="center"/>
          </w:tcPr>
          <w:p w14:paraId="5CB783C7">
            <w:pPr>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11</w:t>
            </w:r>
          </w:p>
        </w:tc>
        <w:tc>
          <w:tcPr>
            <w:tcW w:w="3788" w:type="dxa"/>
            <w:gridSpan w:val="3"/>
            <w:tcBorders>
              <w:top w:val="single" w:color="000000" w:sz="4" w:space="0"/>
              <w:left w:val="single" w:color="000000" w:sz="4" w:space="0"/>
              <w:bottom w:val="single" w:color="auto" w:sz="4" w:space="0"/>
              <w:right w:val="single" w:color="000000" w:sz="4" w:space="0"/>
            </w:tcBorders>
            <w:vAlign w:val="center"/>
          </w:tcPr>
          <w:p w14:paraId="69403BD8">
            <w:pPr>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数据质量情况（此项目有数据质量评价小组勾选评价）</w:t>
            </w:r>
          </w:p>
        </w:tc>
        <w:tc>
          <w:tcPr>
            <w:tcW w:w="5099" w:type="dxa"/>
            <w:gridSpan w:val="4"/>
            <w:tcBorders>
              <w:top w:val="single" w:color="000000" w:sz="4" w:space="0"/>
              <w:left w:val="single" w:color="000000" w:sz="4" w:space="0"/>
              <w:bottom w:val="single" w:color="auto" w:sz="4" w:space="0"/>
              <w:right w:val="single" w:color="000000" w:sz="4" w:space="0"/>
            </w:tcBorders>
            <w:vAlign w:val="center"/>
          </w:tcPr>
          <w:p w14:paraId="26325DDF">
            <w:pPr>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此项目是否涉及数据质量管理：</w:t>
            </w:r>
          </w:p>
          <w:p w14:paraId="70DE3CDF">
            <w:pPr>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【】是；    【    】否。</w:t>
            </w:r>
          </w:p>
          <w:p w14:paraId="08A10691">
            <w:pPr>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此项目数据质量情况：</w:t>
            </w:r>
          </w:p>
          <w:p w14:paraId="751CEABD">
            <w:pPr>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【】合格；    【    】不合格。</w:t>
            </w:r>
          </w:p>
        </w:tc>
      </w:tr>
      <w:tr w14:paraId="6EF47AD5">
        <w:trPr>
          <w:trHeight w:val="500" w:hRule="atLeast"/>
          <w:jc w:val="center"/>
        </w:trPr>
        <w:tc>
          <w:tcPr>
            <w:tcW w:w="9523" w:type="dxa"/>
            <w:gridSpan w:val="8"/>
            <w:tcBorders>
              <w:top w:val="single" w:color="000000" w:sz="4" w:space="0"/>
              <w:left w:val="single" w:color="000000" w:sz="4" w:space="0"/>
              <w:bottom w:val="single" w:color="auto" w:sz="4" w:space="0"/>
              <w:right w:val="single" w:color="000000" w:sz="4" w:space="0"/>
            </w:tcBorders>
            <w:vAlign w:val="center"/>
          </w:tcPr>
          <w:p w14:paraId="270F5139">
            <w:pPr>
              <w:jc w:val="left"/>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数据质量小组评价意见：</w:t>
            </w:r>
          </w:p>
          <w:p w14:paraId="172132DF">
            <w:pPr>
              <w:jc w:val="left"/>
              <w:rPr>
                <w:rFonts w:hint="eastAsia" w:ascii="仿宋" w:hAnsi="仿宋" w:eastAsia="仿宋" w:cs="仿宋"/>
                <w:b/>
                <w:bCs/>
                <w:color w:val="auto"/>
                <w:szCs w:val="21"/>
                <w:highlight w:val="none"/>
              </w:rPr>
            </w:pPr>
          </w:p>
          <w:p w14:paraId="7704A449">
            <w:pPr>
              <w:jc w:val="left"/>
              <w:rPr>
                <w:rFonts w:hint="eastAsia" w:ascii="仿宋" w:hAnsi="仿宋" w:eastAsia="仿宋" w:cs="仿宋"/>
                <w:b/>
                <w:bCs/>
                <w:color w:val="auto"/>
                <w:szCs w:val="21"/>
                <w:highlight w:val="none"/>
              </w:rPr>
            </w:pPr>
          </w:p>
          <w:p w14:paraId="4C2DB6F5">
            <w:pPr>
              <w:jc w:val="left"/>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数据质量评价小组：                                   日期：</w:t>
            </w:r>
          </w:p>
        </w:tc>
      </w:tr>
      <w:tr w14:paraId="39CA9440">
        <w:tblPrEx>
          <w:tblCellMar>
            <w:top w:w="0" w:type="dxa"/>
            <w:left w:w="108" w:type="dxa"/>
            <w:bottom w:w="0" w:type="dxa"/>
            <w:right w:w="108" w:type="dxa"/>
          </w:tblCellMar>
        </w:tblPrEx>
        <w:trPr>
          <w:trHeight w:val="345" w:hRule="atLeast"/>
          <w:jc w:val="center"/>
        </w:trPr>
        <w:tc>
          <w:tcPr>
            <w:tcW w:w="3045" w:type="dxa"/>
            <w:gridSpan w:val="3"/>
            <w:tcBorders>
              <w:top w:val="single" w:color="auto" w:sz="4" w:space="0"/>
              <w:left w:val="single" w:color="auto" w:sz="4" w:space="0"/>
              <w:bottom w:val="single" w:color="000000" w:sz="4" w:space="0"/>
              <w:right w:val="single" w:color="auto" w:sz="4" w:space="0"/>
            </w:tcBorders>
            <w:vAlign w:val="center"/>
          </w:tcPr>
          <w:p w14:paraId="62CC883F">
            <w:pPr>
              <w:jc w:val="left"/>
              <w:rPr>
                <w:rFonts w:hint="eastAsia" w:ascii="仿宋" w:hAnsi="仿宋" w:eastAsia="仿宋" w:cs="仿宋"/>
                <w:b/>
                <w:bCs/>
                <w:color w:val="auto"/>
                <w:szCs w:val="21"/>
                <w:highlight w:val="none"/>
              </w:rPr>
            </w:pPr>
            <w:r>
              <w:rPr>
                <w:rFonts w:hint="eastAsia" w:ascii="仿宋" w:hAnsi="仿宋" w:eastAsia="仿宋" w:cs="仿宋"/>
                <w:b/>
                <w:bCs/>
                <w:color w:val="auto"/>
                <w:kern w:val="0"/>
                <w:szCs w:val="21"/>
                <w:highlight w:val="none"/>
              </w:rPr>
              <w:t>项目组评分（平均分）</w:t>
            </w:r>
          </w:p>
        </w:tc>
        <w:tc>
          <w:tcPr>
            <w:tcW w:w="6478" w:type="dxa"/>
            <w:gridSpan w:val="5"/>
            <w:tcBorders>
              <w:top w:val="single" w:color="auto" w:sz="4" w:space="0"/>
              <w:left w:val="single" w:color="000000" w:sz="4" w:space="0"/>
              <w:bottom w:val="single" w:color="000000" w:sz="4" w:space="0"/>
              <w:right w:val="single" w:color="auto" w:sz="4" w:space="0"/>
            </w:tcBorders>
            <w:vAlign w:val="center"/>
          </w:tcPr>
          <w:p w14:paraId="2CC0FB1E">
            <w:pPr>
              <w:jc w:val="left"/>
              <w:rPr>
                <w:rFonts w:hint="eastAsia" w:ascii="仿宋" w:hAnsi="仿宋" w:eastAsia="仿宋" w:cs="仿宋"/>
                <w:b/>
                <w:bCs/>
                <w:color w:val="auto"/>
                <w:szCs w:val="21"/>
                <w:highlight w:val="none"/>
              </w:rPr>
            </w:pPr>
          </w:p>
        </w:tc>
      </w:tr>
      <w:tr w14:paraId="3D544765">
        <w:tblPrEx>
          <w:tblCellMar>
            <w:top w:w="0" w:type="dxa"/>
            <w:left w:w="108" w:type="dxa"/>
            <w:bottom w:w="0" w:type="dxa"/>
            <w:right w:w="108" w:type="dxa"/>
          </w:tblCellMar>
        </w:tblPrEx>
        <w:trPr>
          <w:trHeight w:val="2204" w:hRule="atLeast"/>
          <w:jc w:val="center"/>
        </w:trPr>
        <w:tc>
          <w:tcPr>
            <w:tcW w:w="9523" w:type="dxa"/>
            <w:gridSpan w:val="8"/>
            <w:tcBorders>
              <w:top w:val="single" w:color="000000" w:sz="4" w:space="0"/>
              <w:left w:val="single" w:color="auto" w:sz="4" w:space="0"/>
              <w:bottom w:val="single" w:color="auto" w:sz="4" w:space="0"/>
              <w:right w:val="single" w:color="auto" w:sz="4" w:space="0"/>
            </w:tcBorders>
            <w:vAlign w:val="center"/>
          </w:tcPr>
          <w:p w14:paraId="30E524FB">
            <w:pPr>
              <w:widowControl/>
              <w:jc w:val="left"/>
              <w:textAlignment w:val="center"/>
              <w:rPr>
                <w:rFonts w:hint="eastAsia" w:ascii="仿宋" w:hAnsi="仿宋" w:eastAsia="仿宋" w:cs="仿宋"/>
                <w:b/>
                <w:bCs/>
                <w:color w:val="auto"/>
                <w:szCs w:val="21"/>
                <w:highlight w:val="none"/>
              </w:rPr>
            </w:pPr>
            <w:r>
              <w:rPr>
                <w:rFonts w:hint="eastAsia" w:ascii="仿宋" w:hAnsi="仿宋" w:eastAsia="仿宋" w:cs="仿宋"/>
                <w:b/>
                <w:bCs/>
                <w:color w:val="auto"/>
                <w:kern w:val="0"/>
                <w:szCs w:val="21"/>
                <w:highlight w:val="none"/>
              </w:rPr>
              <w:t>项目组评价意见：</w:t>
            </w:r>
          </w:p>
          <w:p w14:paraId="2904900D">
            <w:pPr>
              <w:jc w:val="left"/>
              <w:rPr>
                <w:rFonts w:hint="eastAsia" w:ascii="仿宋" w:hAnsi="仿宋" w:eastAsia="仿宋" w:cs="仿宋"/>
                <w:b/>
                <w:bCs/>
                <w:color w:val="auto"/>
                <w:szCs w:val="21"/>
                <w:highlight w:val="none"/>
              </w:rPr>
            </w:pPr>
          </w:p>
          <w:p w14:paraId="4D40A40D">
            <w:pPr>
              <w:jc w:val="left"/>
              <w:rPr>
                <w:rFonts w:hint="eastAsia" w:ascii="仿宋" w:hAnsi="仿宋" w:eastAsia="仿宋" w:cs="仿宋"/>
                <w:b/>
                <w:bCs/>
                <w:color w:val="auto"/>
                <w:szCs w:val="21"/>
                <w:highlight w:val="none"/>
              </w:rPr>
            </w:pPr>
          </w:p>
          <w:p w14:paraId="3DD2B020">
            <w:pPr>
              <w:jc w:val="left"/>
              <w:rPr>
                <w:rFonts w:hint="eastAsia" w:ascii="仿宋" w:hAnsi="仿宋" w:eastAsia="仿宋" w:cs="仿宋"/>
                <w:b/>
                <w:bCs/>
                <w:color w:val="auto"/>
                <w:szCs w:val="21"/>
                <w:highlight w:val="none"/>
              </w:rPr>
            </w:pPr>
          </w:p>
          <w:p w14:paraId="04EADBB7">
            <w:pPr>
              <w:widowControl/>
              <w:jc w:val="left"/>
              <w:textAlignment w:val="center"/>
              <w:rPr>
                <w:rFonts w:hint="eastAsia" w:ascii="仿宋" w:hAnsi="仿宋" w:eastAsia="仿宋" w:cs="仿宋"/>
                <w:b/>
                <w:bCs/>
                <w:color w:val="auto"/>
                <w:szCs w:val="21"/>
                <w:highlight w:val="none"/>
              </w:rPr>
            </w:pPr>
            <w:r>
              <w:rPr>
                <w:rFonts w:hint="eastAsia" w:ascii="仿宋" w:hAnsi="仿宋" w:eastAsia="仿宋" w:cs="仿宋"/>
                <w:b/>
                <w:bCs/>
                <w:color w:val="auto"/>
                <w:kern w:val="0"/>
                <w:szCs w:val="21"/>
                <w:highlight w:val="none"/>
              </w:rPr>
              <w:t>项目主管:               日期：              项目监管：                   日期：</w:t>
            </w:r>
          </w:p>
        </w:tc>
      </w:tr>
    </w:tbl>
    <w:p w14:paraId="455141CD">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填报指引：</w:t>
      </w:r>
    </w:p>
    <w:p w14:paraId="050ADAF4">
      <w:pPr>
        <w:numPr>
          <w:ilvl w:val="0"/>
          <w:numId w:val="22"/>
        </w:num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重大故障：是指影响医院正常业务一小时（含）以上的故障，例如挂号、急诊、门诊缴费、门诊接诊、用血、各类检查检验等。</w:t>
      </w:r>
    </w:p>
    <w:p w14:paraId="09BBC0D8">
      <w:pPr>
        <w:numPr>
          <w:ilvl w:val="0"/>
          <w:numId w:val="22"/>
        </w:num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如评价季度需求版本发布导致重大故障，则需求版本质量该季度考核为不满意档次。</w:t>
      </w:r>
    </w:p>
    <w:p w14:paraId="590AE4B4">
      <w:pPr>
        <w:numPr>
          <w:ilvl w:val="0"/>
          <w:numId w:val="22"/>
        </w:num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如重大故障考核期间大于1次\月，则重大故障出现次数考核为不满意档次。</w:t>
      </w:r>
    </w:p>
    <w:p w14:paraId="37F49188">
      <w:pPr>
        <w:numPr>
          <w:ilvl w:val="0"/>
          <w:numId w:val="22"/>
        </w:num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如重大故障未在1小时内处理完成恢复，则重大故障处理情况考核为不满意档次。如重大故障无总结报告或者报告无实质性原因分析、详细处理步骤、后续规避方案，惩罚措施等，则重大故障处理情况考核为不满意档次。</w:t>
      </w:r>
    </w:p>
    <w:p w14:paraId="78141F0B">
      <w:pPr>
        <w:numPr>
          <w:ilvl w:val="0"/>
          <w:numId w:val="22"/>
        </w:numPr>
        <w:spacing w:line="360" w:lineRule="auto"/>
        <w:ind w:firstLine="420" w:firstLineChars="200"/>
        <w:rPr>
          <w:rFonts w:hint="eastAsia" w:ascii="宋体" w:hAnsi="宋体" w:cs="宋体"/>
          <w:color w:val="auto"/>
          <w:szCs w:val="21"/>
          <w:highlight w:val="none"/>
        </w:rPr>
      </w:pPr>
      <w:bookmarkStart w:id="4" w:name="OLE_LINK8"/>
      <w:r>
        <w:rPr>
          <w:rFonts w:hint="eastAsia" w:ascii="宋体" w:hAnsi="宋体" w:cs="宋体"/>
          <w:color w:val="auto"/>
          <w:szCs w:val="21"/>
          <w:highlight w:val="none"/>
        </w:rPr>
        <w:t>如实施运维人员专业技能受到业务科室、信息处质疑，供应商无法提供证据证明其维护人员专业技能且未有更换时，维护人员专业技能考核为不满意。</w:t>
      </w:r>
    </w:p>
    <w:p w14:paraId="513CFF4E">
      <w:pPr>
        <w:numPr>
          <w:ilvl w:val="0"/>
          <w:numId w:val="22"/>
        </w:num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如维护人员未按规定，私自更改生产环境引起任何故障，则维护人员操作规范考核为不满意档次。</w:t>
      </w:r>
    </w:p>
    <w:p w14:paraId="6FE41204">
      <w:pPr>
        <w:numPr>
          <w:ilvl w:val="0"/>
          <w:numId w:val="22"/>
        </w:num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如同一故障在考核期间大于1次\月，则故障反复出现次数考核为不满意。</w:t>
      </w:r>
    </w:p>
    <w:bookmarkEnd w:id="4"/>
    <w:p w14:paraId="150FAF6C">
      <w:pPr>
        <w:numPr>
          <w:ilvl w:val="0"/>
          <w:numId w:val="22"/>
        </w:num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填写不满意档次评分，由项目组提供佐证材料作为说明。</w:t>
      </w:r>
    </w:p>
    <w:p w14:paraId="3C42E9E2">
      <w:pPr>
        <w:rPr>
          <w:color w:val="auto"/>
          <w:highlight w:val="none"/>
        </w:rPr>
      </w:pPr>
      <w:r>
        <w:rPr>
          <w:color w:val="auto"/>
          <w:highlight w:val="none"/>
        </w:rPr>
        <w:br w:type="page"/>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6819FB">
    <w:pPr>
      <w:pStyle w:val="3"/>
      <w:jc w:val="center"/>
    </w:pPr>
    <w:r>
      <w:rPr>
        <w:bCs/>
        <w:sz w:val="24"/>
      </w:rPr>
      <w:fldChar w:fldCharType="begin"/>
    </w:r>
    <w:r>
      <w:rPr>
        <w:bCs/>
        <w:sz w:val="24"/>
      </w:rPr>
      <w:instrText xml:space="preserve">PAGE</w:instrText>
    </w:r>
    <w:r>
      <w:rPr>
        <w:bCs/>
        <w:sz w:val="24"/>
      </w:rPr>
      <w:fldChar w:fldCharType="separate"/>
    </w:r>
    <w:r>
      <w:rPr>
        <w:bCs/>
        <w:sz w:val="24"/>
      </w:rPr>
      <w:t>18</w:t>
    </w:r>
    <w:r>
      <w:rPr>
        <w:bCs/>
        <w:sz w:val="24"/>
      </w:rPr>
      <w:fldChar w:fldCharType="end"/>
    </w:r>
    <w:r>
      <w:rPr>
        <w:sz w:val="24"/>
        <w:lang w:val="zh-CN"/>
      </w:rPr>
      <w:t xml:space="preserve"> / </w:t>
    </w:r>
    <w:r>
      <w:rPr>
        <w:bCs/>
        <w:sz w:val="24"/>
      </w:rPr>
      <w:fldChar w:fldCharType="begin"/>
    </w:r>
    <w:r>
      <w:rPr>
        <w:bCs/>
        <w:sz w:val="24"/>
      </w:rPr>
      <w:instrText xml:space="preserve">NUMPAGES</w:instrText>
    </w:r>
    <w:r>
      <w:rPr>
        <w:bCs/>
        <w:sz w:val="24"/>
      </w:rPr>
      <w:fldChar w:fldCharType="separate"/>
    </w:r>
    <w:r>
      <w:rPr>
        <w:bCs/>
        <w:sz w:val="24"/>
      </w:rPr>
      <w:t>92</w:t>
    </w:r>
    <w:r>
      <w:rPr>
        <w:bCs/>
        <w:sz w:val="24"/>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97591A"/>
    <w:multiLevelType w:val="multilevel"/>
    <w:tmpl w:val="8397591A"/>
    <w:lvl w:ilvl="0" w:tentative="0">
      <w:start w:val="1"/>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
    <w:nsid w:val="8CFE5FBA"/>
    <w:multiLevelType w:val="multilevel"/>
    <w:tmpl w:val="8CFE5FBA"/>
    <w:lvl w:ilvl="0" w:tentative="0">
      <w:start w:val="1"/>
      <w:numFmt w:val="chineseCountingThousand"/>
      <w:lvlText w:val="%1、"/>
      <w:lvlJc w:val="left"/>
      <w:pPr>
        <w:ind w:left="567" w:hanging="425"/>
      </w:pPr>
      <w:rPr>
        <w:rFonts w:hint="eastAsia"/>
        <w:sz w:val="24"/>
        <w:szCs w:val="24"/>
      </w:rPr>
    </w:lvl>
    <w:lvl w:ilvl="1" w:tentative="0">
      <w:start w:val="1"/>
      <w:numFmt w:val="chineseCountingThousand"/>
      <w:lvlText w:val="（%2）"/>
      <w:lvlJc w:val="left"/>
      <w:pPr>
        <w:ind w:left="709" w:hanging="567"/>
      </w:pPr>
      <w:rPr>
        <w:rFonts w:hint="eastAsia"/>
        <w:sz w:val="24"/>
        <w:szCs w:val="24"/>
      </w:rPr>
    </w:lvl>
    <w:lvl w:ilvl="2" w:tentative="0">
      <w:start w:val="1"/>
      <w:numFmt w:val="decimal"/>
      <w:lvlText w:val="%3."/>
      <w:lvlJc w:val="left"/>
      <w:pPr>
        <w:ind w:left="1418" w:hanging="567"/>
      </w:pPr>
      <w:rPr>
        <w:rFonts w:hint="eastAsia"/>
      </w:rPr>
    </w:lvl>
    <w:lvl w:ilvl="3" w:tentative="0">
      <w:start w:val="1"/>
      <w:numFmt w:val="decimal"/>
      <w:lvlText w:val="(%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
    <w:nsid w:val="9D9CF33B"/>
    <w:multiLevelType w:val="singleLevel"/>
    <w:tmpl w:val="9D9CF33B"/>
    <w:lvl w:ilvl="0" w:tentative="0">
      <w:start w:val="1"/>
      <w:numFmt w:val="decimal"/>
      <w:lvlText w:val="%1."/>
      <w:lvlJc w:val="left"/>
      <w:pPr>
        <w:ind w:left="425" w:hanging="425"/>
      </w:pPr>
      <w:rPr>
        <w:rFonts w:hint="default"/>
      </w:rPr>
    </w:lvl>
  </w:abstractNum>
  <w:abstractNum w:abstractNumId="3">
    <w:nsid w:val="B31BCE4E"/>
    <w:multiLevelType w:val="singleLevel"/>
    <w:tmpl w:val="B31BCE4E"/>
    <w:lvl w:ilvl="0" w:tentative="0">
      <w:start w:val="1"/>
      <w:numFmt w:val="decimal"/>
      <w:lvlText w:val="%1."/>
      <w:lvlJc w:val="left"/>
      <w:pPr>
        <w:ind w:left="425" w:hanging="425"/>
      </w:pPr>
      <w:rPr>
        <w:rFonts w:hint="default"/>
      </w:rPr>
    </w:lvl>
  </w:abstractNum>
  <w:abstractNum w:abstractNumId="4">
    <w:nsid w:val="BB731B62"/>
    <w:multiLevelType w:val="multilevel"/>
    <w:tmpl w:val="BB731B62"/>
    <w:lvl w:ilvl="0" w:tentative="0">
      <w:start w:val="1"/>
      <w:numFmt w:val="chineseCountingThousand"/>
      <w:lvlText w:val="%1、"/>
      <w:lvlJc w:val="left"/>
      <w:pPr>
        <w:ind w:left="567" w:hanging="425"/>
      </w:pPr>
      <w:rPr>
        <w:rFonts w:hint="eastAsia"/>
        <w:sz w:val="24"/>
        <w:szCs w:val="24"/>
      </w:rPr>
    </w:lvl>
    <w:lvl w:ilvl="1" w:tentative="0">
      <w:start w:val="1"/>
      <w:numFmt w:val="chineseCountingThousand"/>
      <w:lvlText w:val="（%2）"/>
      <w:lvlJc w:val="left"/>
      <w:pPr>
        <w:ind w:left="709" w:hanging="567"/>
      </w:pPr>
      <w:rPr>
        <w:rFonts w:hint="eastAsia"/>
        <w:sz w:val="24"/>
        <w:szCs w:val="24"/>
      </w:rPr>
    </w:lvl>
    <w:lvl w:ilvl="2" w:tentative="0">
      <w:start w:val="1"/>
      <w:numFmt w:val="decimal"/>
      <w:lvlText w:val="%3."/>
      <w:lvlJc w:val="left"/>
      <w:pPr>
        <w:ind w:left="1418" w:hanging="567"/>
      </w:pPr>
      <w:rPr>
        <w:rFonts w:hint="eastAsia"/>
      </w:rPr>
    </w:lvl>
    <w:lvl w:ilvl="3" w:tentative="0">
      <w:start w:val="1"/>
      <w:numFmt w:val="decimal"/>
      <w:lvlText w:val="(%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DC216ADA"/>
    <w:multiLevelType w:val="singleLevel"/>
    <w:tmpl w:val="DC216ADA"/>
    <w:lvl w:ilvl="0" w:tentative="0">
      <w:start w:val="1"/>
      <w:numFmt w:val="decimal"/>
      <w:lvlText w:val="%1."/>
      <w:lvlJc w:val="left"/>
      <w:pPr>
        <w:ind w:left="425" w:hanging="425"/>
      </w:pPr>
      <w:rPr>
        <w:rFonts w:hint="default"/>
      </w:rPr>
    </w:lvl>
  </w:abstractNum>
  <w:abstractNum w:abstractNumId="6">
    <w:nsid w:val="E1A68CFF"/>
    <w:multiLevelType w:val="singleLevel"/>
    <w:tmpl w:val="E1A68CFF"/>
    <w:lvl w:ilvl="0" w:tentative="0">
      <w:start w:val="1"/>
      <w:numFmt w:val="decimal"/>
      <w:lvlText w:val="(%1)"/>
      <w:lvlJc w:val="left"/>
      <w:pPr>
        <w:tabs>
          <w:tab w:val="left" w:pos="420"/>
        </w:tabs>
        <w:ind w:left="845" w:hanging="425"/>
      </w:pPr>
      <w:rPr>
        <w:rFonts w:hint="default"/>
      </w:rPr>
    </w:lvl>
  </w:abstractNum>
  <w:abstractNum w:abstractNumId="7">
    <w:nsid w:val="F47761DE"/>
    <w:multiLevelType w:val="multilevel"/>
    <w:tmpl w:val="F47761DE"/>
    <w:lvl w:ilvl="0" w:tentative="0">
      <w:start w:val="1"/>
      <w:numFmt w:val="chineseCountingThousand"/>
      <w:lvlText w:val="%1、"/>
      <w:lvlJc w:val="left"/>
      <w:pPr>
        <w:ind w:left="567" w:hanging="425"/>
      </w:pPr>
      <w:rPr>
        <w:rFonts w:hint="eastAsia"/>
        <w:sz w:val="24"/>
        <w:szCs w:val="24"/>
      </w:rPr>
    </w:lvl>
    <w:lvl w:ilvl="1" w:tentative="0">
      <w:start w:val="1"/>
      <w:numFmt w:val="chineseCountingThousand"/>
      <w:lvlText w:val="（%2）"/>
      <w:lvlJc w:val="left"/>
      <w:pPr>
        <w:ind w:left="709" w:hanging="567"/>
      </w:pPr>
      <w:rPr>
        <w:rFonts w:hint="eastAsia"/>
        <w:sz w:val="24"/>
        <w:szCs w:val="24"/>
      </w:rPr>
    </w:lvl>
    <w:lvl w:ilvl="2" w:tentative="0">
      <w:start w:val="1"/>
      <w:numFmt w:val="decimal"/>
      <w:lvlText w:val="%3."/>
      <w:lvlJc w:val="left"/>
      <w:pPr>
        <w:ind w:left="1418" w:hanging="567"/>
      </w:pPr>
      <w:rPr>
        <w:rFonts w:hint="eastAsia"/>
      </w:rPr>
    </w:lvl>
    <w:lvl w:ilvl="3" w:tentative="0">
      <w:start w:val="1"/>
      <w:numFmt w:val="decimal"/>
      <w:lvlText w:val="(%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8">
    <w:nsid w:val="F522F884"/>
    <w:multiLevelType w:val="singleLevel"/>
    <w:tmpl w:val="F522F884"/>
    <w:lvl w:ilvl="0" w:tentative="0">
      <w:start w:val="1"/>
      <w:numFmt w:val="decimal"/>
      <w:lvlText w:val="(%1)"/>
      <w:lvlJc w:val="left"/>
      <w:pPr>
        <w:tabs>
          <w:tab w:val="left" w:pos="420"/>
        </w:tabs>
        <w:ind w:left="845" w:hanging="425"/>
      </w:pPr>
      <w:rPr>
        <w:rFonts w:hint="default"/>
      </w:rPr>
    </w:lvl>
  </w:abstractNum>
  <w:abstractNum w:abstractNumId="9">
    <w:nsid w:val="FA33F6ED"/>
    <w:multiLevelType w:val="singleLevel"/>
    <w:tmpl w:val="FA33F6ED"/>
    <w:lvl w:ilvl="0" w:tentative="0">
      <w:start w:val="1"/>
      <w:numFmt w:val="decimal"/>
      <w:lvlText w:val="%1."/>
      <w:lvlJc w:val="left"/>
      <w:pPr>
        <w:ind w:left="425" w:hanging="425"/>
      </w:pPr>
      <w:rPr>
        <w:rFonts w:hint="default"/>
      </w:rPr>
    </w:lvl>
  </w:abstractNum>
  <w:abstractNum w:abstractNumId="10">
    <w:nsid w:val="03FA4FE1"/>
    <w:multiLevelType w:val="multilevel"/>
    <w:tmpl w:val="03FA4FE1"/>
    <w:lvl w:ilvl="0" w:tentative="0">
      <w:start w:val="1"/>
      <w:numFmt w:val="decimal"/>
      <w:lvlText w:val="(%1)"/>
      <w:lvlJc w:val="left"/>
      <w:pPr>
        <w:ind w:left="0" w:hanging="420"/>
      </w:pPr>
      <w:rPr>
        <w:rFonts w:hint="eastAsia"/>
      </w:rPr>
    </w:lvl>
    <w:lvl w:ilvl="1" w:tentative="0">
      <w:start w:val="1"/>
      <w:numFmt w:val="lowerLetter"/>
      <w:lvlText w:val="%2)"/>
      <w:lvlJc w:val="left"/>
      <w:pPr>
        <w:ind w:left="420" w:hanging="420"/>
      </w:pPr>
    </w:lvl>
    <w:lvl w:ilvl="2" w:tentative="0">
      <w:start w:val="1"/>
      <w:numFmt w:val="lowerRoman"/>
      <w:lvlText w:val="%3."/>
      <w:lvlJc w:val="right"/>
      <w:pPr>
        <w:ind w:left="840" w:hanging="420"/>
      </w:pPr>
    </w:lvl>
    <w:lvl w:ilvl="3" w:tentative="0">
      <w:start w:val="1"/>
      <w:numFmt w:val="decimal"/>
      <w:lvlText w:val="%4."/>
      <w:lvlJc w:val="left"/>
      <w:pPr>
        <w:ind w:left="1260" w:hanging="420"/>
      </w:pPr>
    </w:lvl>
    <w:lvl w:ilvl="4" w:tentative="0">
      <w:start w:val="1"/>
      <w:numFmt w:val="lowerLetter"/>
      <w:lvlText w:val="%5)"/>
      <w:lvlJc w:val="left"/>
      <w:pPr>
        <w:ind w:left="1680" w:hanging="420"/>
      </w:pPr>
    </w:lvl>
    <w:lvl w:ilvl="5" w:tentative="0">
      <w:start w:val="1"/>
      <w:numFmt w:val="lowerRoman"/>
      <w:lvlText w:val="%6."/>
      <w:lvlJc w:val="right"/>
      <w:pPr>
        <w:ind w:left="2100" w:hanging="420"/>
      </w:pPr>
    </w:lvl>
    <w:lvl w:ilvl="6" w:tentative="0">
      <w:start w:val="1"/>
      <w:numFmt w:val="decimal"/>
      <w:lvlText w:val="%7."/>
      <w:lvlJc w:val="left"/>
      <w:pPr>
        <w:ind w:left="2520" w:hanging="420"/>
      </w:pPr>
    </w:lvl>
    <w:lvl w:ilvl="7" w:tentative="0">
      <w:start w:val="1"/>
      <w:numFmt w:val="lowerLetter"/>
      <w:lvlText w:val="%8)"/>
      <w:lvlJc w:val="left"/>
      <w:pPr>
        <w:ind w:left="2940" w:hanging="420"/>
      </w:pPr>
    </w:lvl>
    <w:lvl w:ilvl="8" w:tentative="0">
      <w:start w:val="1"/>
      <w:numFmt w:val="lowerRoman"/>
      <w:lvlText w:val="%9."/>
      <w:lvlJc w:val="right"/>
      <w:pPr>
        <w:ind w:left="3360" w:hanging="420"/>
      </w:pPr>
    </w:lvl>
  </w:abstractNum>
  <w:abstractNum w:abstractNumId="11">
    <w:nsid w:val="082F5B21"/>
    <w:multiLevelType w:val="multilevel"/>
    <w:tmpl w:val="082F5B21"/>
    <w:lvl w:ilvl="0" w:tentative="0">
      <w:start w:val="1"/>
      <w:numFmt w:val="chineseCountingThousand"/>
      <w:lvlText w:val="%1、"/>
      <w:lvlJc w:val="left"/>
      <w:pPr>
        <w:ind w:left="567" w:hanging="425"/>
      </w:pPr>
      <w:rPr>
        <w:rFonts w:hint="eastAsia"/>
        <w:sz w:val="24"/>
        <w:szCs w:val="24"/>
      </w:rPr>
    </w:lvl>
    <w:lvl w:ilvl="1" w:tentative="0">
      <w:start w:val="1"/>
      <w:numFmt w:val="chineseCountingThousand"/>
      <w:lvlText w:val="（%2）"/>
      <w:lvlJc w:val="left"/>
      <w:pPr>
        <w:ind w:left="709" w:hanging="567"/>
      </w:pPr>
      <w:rPr>
        <w:rFonts w:hint="eastAsia"/>
        <w:sz w:val="24"/>
        <w:szCs w:val="24"/>
      </w:rPr>
    </w:lvl>
    <w:lvl w:ilvl="2" w:tentative="0">
      <w:start w:val="1"/>
      <w:numFmt w:val="decimal"/>
      <w:lvlText w:val="%3."/>
      <w:lvlJc w:val="left"/>
      <w:pPr>
        <w:ind w:left="1418" w:hanging="567"/>
      </w:pPr>
      <w:rPr>
        <w:rFonts w:hint="eastAsia"/>
      </w:rPr>
    </w:lvl>
    <w:lvl w:ilvl="3" w:tentative="0">
      <w:start w:val="1"/>
      <w:numFmt w:val="decimal"/>
      <w:lvlText w:val="(%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2">
    <w:nsid w:val="29015205"/>
    <w:multiLevelType w:val="multilevel"/>
    <w:tmpl w:val="29015205"/>
    <w:lvl w:ilvl="0" w:tentative="0">
      <w:start w:val="1"/>
      <w:numFmt w:val="decimal"/>
      <w:lvlText w:val="%1"/>
      <w:lvlJc w:val="left"/>
      <w:pPr>
        <w:ind w:left="432" w:hanging="432"/>
      </w:pPr>
      <w:rPr>
        <w:rFonts w:hint="eastAsia"/>
      </w:rPr>
    </w:lvl>
    <w:lvl w:ilvl="1" w:tentative="0">
      <w:start w:val="1"/>
      <w:numFmt w:val="decimal"/>
      <w:lvlText w:val="4.%2"/>
      <w:lvlJc w:val="left"/>
      <w:pPr>
        <w:ind w:left="576" w:hanging="576"/>
      </w:pPr>
      <w:rPr>
        <w:rFonts w:hint="eastAsia"/>
      </w:rPr>
    </w:lvl>
    <w:lvl w:ilvl="2" w:tentative="0">
      <w:start w:val="1"/>
      <w:numFmt w:val="decimal"/>
      <w:lvlText w:val="6.2.%3"/>
      <w:lvlJc w:val="left"/>
      <w:pPr>
        <w:ind w:left="720" w:hanging="720"/>
      </w:pPr>
      <w:rPr>
        <w:rFonts w:hint="eastAsia"/>
      </w:rPr>
    </w:lvl>
    <w:lvl w:ilvl="3" w:tentative="0">
      <w:start w:val="1"/>
      <w:numFmt w:val="decimal"/>
      <w:lvlText w:val="5.1.1.%4"/>
      <w:lvlJc w:val="left"/>
      <w:pPr>
        <w:ind w:left="864" w:hanging="864"/>
      </w:pPr>
      <w:rPr>
        <w:rFonts w:hint="eastAsia"/>
      </w:rPr>
    </w:lvl>
    <w:lvl w:ilvl="4" w:tentative="0">
      <w:start w:val="1"/>
      <w:numFmt w:val="decimal"/>
      <w:lvlText w:val="5.1.1.1.%5"/>
      <w:lvlJc w:val="left"/>
      <w:pPr>
        <w:ind w:left="2142"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13">
    <w:nsid w:val="424A4138"/>
    <w:multiLevelType w:val="multilevel"/>
    <w:tmpl w:val="424A4138"/>
    <w:lvl w:ilvl="0" w:tentative="0">
      <w:start w:val="1"/>
      <w:numFmt w:val="chineseCountingThousand"/>
      <w:lvlText w:val="%1."/>
      <w:lvlJc w:val="left"/>
      <w:pPr>
        <w:ind w:left="432" w:hanging="432"/>
      </w:pPr>
      <w:rPr>
        <w:rFonts w:hint="eastAsia"/>
        <w:color w:val="auto"/>
        <w:sz w:val="32"/>
        <w:szCs w:val="32"/>
      </w:rPr>
    </w:lvl>
    <w:lvl w:ilvl="1" w:tentative="0">
      <w:start w:val="1"/>
      <w:numFmt w:val="decimal"/>
      <w:lvlText w:val="%1.%2"/>
      <w:lvlJc w:val="left"/>
      <w:pPr>
        <w:ind w:left="576" w:hanging="576"/>
      </w:pPr>
      <w:rPr>
        <w:rFonts w:hint="eastAsia"/>
      </w:rPr>
    </w:lvl>
    <w:lvl w:ilvl="2" w:tentative="0">
      <w:start w:val="1"/>
      <w:numFmt w:val="decimal"/>
      <w:lvlText w:val="%1.%2.%3"/>
      <w:lvlJc w:val="left"/>
      <w:pPr>
        <w:ind w:left="720" w:hanging="720"/>
      </w:pPr>
      <w:rPr>
        <w:rFonts w:hint="eastAsia"/>
      </w:rPr>
    </w:lvl>
    <w:lvl w:ilvl="3" w:tentative="0">
      <w:start w:val="1"/>
      <w:numFmt w:val="decimal"/>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14">
    <w:nsid w:val="4FA740A5"/>
    <w:multiLevelType w:val="singleLevel"/>
    <w:tmpl w:val="4FA740A5"/>
    <w:lvl w:ilvl="0" w:tentative="0">
      <w:start w:val="1"/>
      <w:numFmt w:val="decimalEnclosedCircleChinese"/>
      <w:suff w:val="nothing"/>
      <w:lvlText w:val="%1　"/>
      <w:lvlJc w:val="left"/>
      <w:pPr>
        <w:ind w:left="0" w:firstLine="400"/>
      </w:pPr>
      <w:rPr>
        <w:rFonts w:hint="eastAsia"/>
      </w:rPr>
    </w:lvl>
  </w:abstractNum>
  <w:abstractNum w:abstractNumId="15">
    <w:nsid w:val="4FC9F343"/>
    <w:multiLevelType w:val="singleLevel"/>
    <w:tmpl w:val="4FC9F343"/>
    <w:lvl w:ilvl="0" w:tentative="0">
      <w:start w:val="1"/>
      <w:numFmt w:val="decimal"/>
      <w:lvlText w:val="%1."/>
      <w:lvlJc w:val="left"/>
      <w:pPr>
        <w:ind w:left="425" w:hanging="425"/>
      </w:pPr>
      <w:rPr>
        <w:rFonts w:hint="default"/>
      </w:rPr>
    </w:lvl>
  </w:abstractNum>
  <w:abstractNum w:abstractNumId="16">
    <w:nsid w:val="50DC4B9E"/>
    <w:multiLevelType w:val="multilevel"/>
    <w:tmpl w:val="50DC4B9E"/>
    <w:lvl w:ilvl="0" w:tentative="0">
      <w:start w:val="1"/>
      <w:numFmt w:val="decimal"/>
      <w:lvlText w:val="(%1)"/>
      <w:lvlJc w:val="left"/>
      <w:pPr>
        <w:tabs>
          <w:tab w:val="left" w:pos="420"/>
        </w:tabs>
        <w:ind w:left="840" w:hanging="420"/>
      </w:pPr>
      <w:rPr>
        <w:rFonts w:hint="default"/>
      </w:rPr>
    </w:lvl>
    <w:lvl w:ilvl="1" w:tentative="0">
      <w:start w:val="1"/>
      <w:numFmt w:val="lowerLetter"/>
      <w:lvlText w:val="%2)"/>
      <w:lvlJc w:val="left"/>
      <w:pPr>
        <w:tabs>
          <w:tab w:val="left" w:pos="420"/>
        </w:tabs>
        <w:ind w:left="1260" w:hanging="420"/>
      </w:pPr>
    </w:lvl>
    <w:lvl w:ilvl="2" w:tentative="0">
      <w:start w:val="1"/>
      <w:numFmt w:val="lowerRoman"/>
      <w:lvlText w:val="%3."/>
      <w:lvlJc w:val="right"/>
      <w:pPr>
        <w:tabs>
          <w:tab w:val="left" w:pos="420"/>
        </w:tabs>
        <w:ind w:left="1680" w:hanging="420"/>
      </w:pPr>
    </w:lvl>
    <w:lvl w:ilvl="3" w:tentative="0">
      <w:start w:val="1"/>
      <w:numFmt w:val="decimal"/>
      <w:lvlText w:val="%4."/>
      <w:lvlJc w:val="left"/>
      <w:pPr>
        <w:tabs>
          <w:tab w:val="left" w:pos="420"/>
        </w:tabs>
        <w:ind w:left="2100" w:hanging="420"/>
      </w:pPr>
    </w:lvl>
    <w:lvl w:ilvl="4" w:tentative="0">
      <w:start w:val="1"/>
      <w:numFmt w:val="lowerLetter"/>
      <w:lvlText w:val="%5)"/>
      <w:lvlJc w:val="left"/>
      <w:pPr>
        <w:tabs>
          <w:tab w:val="left" w:pos="420"/>
        </w:tabs>
        <w:ind w:left="2520" w:hanging="420"/>
      </w:pPr>
    </w:lvl>
    <w:lvl w:ilvl="5" w:tentative="0">
      <w:start w:val="1"/>
      <w:numFmt w:val="lowerRoman"/>
      <w:lvlText w:val="%6."/>
      <w:lvlJc w:val="right"/>
      <w:pPr>
        <w:tabs>
          <w:tab w:val="left" w:pos="420"/>
        </w:tabs>
        <w:ind w:left="2940" w:hanging="420"/>
      </w:pPr>
    </w:lvl>
    <w:lvl w:ilvl="6" w:tentative="0">
      <w:start w:val="1"/>
      <w:numFmt w:val="decimal"/>
      <w:lvlText w:val="%7."/>
      <w:lvlJc w:val="left"/>
      <w:pPr>
        <w:tabs>
          <w:tab w:val="left" w:pos="420"/>
        </w:tabs>
        <w:ind w:left="3360" w:hanging="420"/>
      </w:pPr>
    </w:lvl>
    <w:lvl w:ilvl="7" w:tentative="0">
      <w:start w:val="1"/>
      <w:numFmt w:val="lowerLetter"/>
      <w:lvlText w:val="%8)"/>
      <w:lvlJc w:val="left"/>
      <w:pPr>
        <w:tabs>
          <w:tab w:val="left" w:pos="420"/>
        </w:tabs>
        <w:ind w:left="3780" w:hanging="420"/>
      </w:pPr>
    </w:lvl>
    <w:lvl w:ilvl="8" w:tentative="0">
      <w:start w:val="1"/>
      <w:numFmt w:val="lowerRoman"/>
      <w:lvlText w:val="%9."/>
      <w:lvlJc w:val="right"/>
      <w:pPr>
        <w:tabs>
          <w:tab w:val="left" w:pos="420"/>
        </w:tabs>
        <w:ind w:left="4200" w:hanging="420"/>
      </w:pPr>
    </w:lvl>
  </w:abstractNum>
  <w:abstractNum w:abstractNumId="17">
    <w:nsid w:val="52B94DEF"/>
    <w:multiLevelType w:val="singleLevel"/>
    <w:tmpl w:val="52B94DEF"/>
    <w:lvl w:ilvl="0" w:tentative="0">
      <w:start w:val="1"/>
      <w:numFmt w:val="decimal"/>
      <w:lvlText w:val="(%1)"/>
      <w:lvlJc w:val="left"/>
      <w:pPr>
        <w:tabs>
          <w:tab w:val="left" w:pos="420"/>
        </w:tabs>
        <w:ind w:left="845" w:hanging="425"/>
      </w:pPr>
      <w:rPr>
        <w:rFonts w:hint="default"/>
      </w:rPr>
    </w:lvl>
  </w:abstractNum>
  <w:abstractNum w:abstractNumId="18">
    <w:nsid w:val="61962673"/>
    <w:multiLevelType w:val="singleLevel"/>
    <w:tmpl w:val="61962673"/>
    <w:lvl w:ilvl="0" w:tentative="0">
      <w:start w:val="1"/>
      <w:numFmt w:val="decimal"/>
      <w:suff w:val="nothing"/>
      <w:lvlText w:val="%1．"/>
      <w:lvlJc w:val="left"/>
      <w:pPr>
        <w:ind w:left="0" w:firstLine="400"/>
      </w:pPr>
      <w:rPr>
        <w:rFonts w:hint="default"/>
      </w:rPr>
    </w:lvl>
  </w:abstractNum>
  <w:abstractNum w:abstractNumId="19">
    <w:nsid w:val="62A94B31"/>
    <w:multiLevelType w:val="multilevel"/>
    <w:tmpl w:val="62A94B31"/>
    <w:lvl w:ilvl="0" w:tentative="0">
      <w:start w:val="1"/>
      <w:numFmt w:val="chineseCountingThousand"/>
      <w:lvlText w:val="%1、"/>
      <w:lvlJc w:val="left"/>
      <w:pPr>
        <w:ind w:left="567" w:hanging="425"/>
      </w:pPr>
      <w:rPr>
        <w:rFonts w:hint="eastAsia"/>
        <w:sz w:val="24"/>
        <w:szCs w:val="24"/>
      </w:rPr>
    </w:lvl>
    <w:lvl w:ilvl="1" w:tentative="0">
      <w:start w:val="1"/>
      <w:numFmt w:val="chineseCountingThousand"/>
      <w:lvlText w:val="（%2）"/>
      <w:lvlJc w:val="left"/>
      <w:pPr>
        <w:ind w:left="699" w:hanging="567"/>
      </w:pPr>
      <w:rPr>
        <w:rFonts w:hint="eastAsia"/>
        <w:sz w:val="24"/>
        <w:szCs w:val="24"/>
      </w:rPr>
    </w:lvl>
    <w:lvl w:ilvl="2" w:tentative="0">
      <w:start w:val="1"/>
      <w:numFmt w:val="decimal"/>
      <w:lvlText w:val="%3."/>
      <w:lvlJc w:val="left"/>
      <w:pPr>
        <w:ind w:left="1418" w:hanging="567"/>
      </w:pPr>
      <w:rPr>
        <w:rFonts w:hint="eastAsia"/>
      </w:rPr>
    </w:lvl>
    <w:lvl w:ilvl="3" w:tentative="0">
      <w:start w:val="1"/>
      <w:numFmt w:val="decimal"/>
      <w:lvlText w:val="(%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0">
    <w:nsid w:val="6401BF7A"/>
    <w:multiLevelType w:val="multilevel"/>
    <w:tmpl w:val="6401BF7A"/>
    <w:lvl w:ilvl="0" w:tentative="0">
      <w:start w:val="1"/>
      <w:numFmt w:val="chineseCountingThousand"/>
      <w:lvlText w:val="%1、"/>
      <w:lvlJc w:val="left"/>
      <w:pPr>
        <w:ind w:left="567" w:hanging="425"/>
      </w:pPr>
      <w:rPr>
        <w:rFonts w:hint="eastAsia"/>
        <w:sz w:val="24"/>
        <w:szCs w:val="24"/>
      </w:rPr>
    </w:lvl>
    <w:lvl w:ilvl="1" w:tentative="0">
      <w:start w:val="1"/>
      <w:numFmt w:val="chineseCountingThousand"/>
      <w:lvlText w:val="（%2）"/>
      <w:lvlJc w:val="left"/>
      <w:pPr>
        <w:ind w:left="709" w:hanging="567"/>
      </w:pPr>
      <w:rPr>
        <w:rFonts w:hint="eastAsia"/>
        <w:sz w:val="24"/>
        <w:szCs w:val="24"/>
      </w:rPr>
    </w:lvl>
    <w:lvl w:ilvl="2" w:tentative="0">
      <w:start w:val="1"/>
      <w:numFmt w:val="decimal"/>
      <w:lvlText w:val="%3."/>
      <w:lvlJc w:val="left"/>
      <w:pPr>
        <w:ind w:left="1418" w:hanging="567"/>
      </w:pPr>
      <w:rPr>
        <w:rFonts w:hint="eastAsia"/>
      </w:rPr>
    </w:lvl>
    <w:lvl w:ilvl="3" w:tentative="0">
      <w:start w:val="1"/>
      <w:numFmt w:val="decimal"/>
      <w:lvlText w:val="(%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1">
    <w:nsid w:val="77B83179"/>
    <w:multiLevelType w:val="singleLevel"/>
    <w:tmpl w:val="77B83179"/>
    <w:lvl w:ilvl="0" w:tentative="0">
      <w:start w:val="1"/>
      <w:numFmt w:val="decimal"/>
      <w:suff w:val="nothing"/>
      <w:lvlText w:val="%1．"/>
      <w:lvlJc w:val="left"/>
      <w:pPr>
        <w:ind w:left="0" w:firstLine="400"/>
      </w:pPr>
      <w:rPr>
        <w:rFonts w:hint="default"/>
      </w:rPr>
    </w:lvl>
  </w:abstractNum>
  <w:num w:numId="1">
    <w:abstractNumId w:val="13"/>
  </w:num>
  <w:num w:numId="2">
    <w:abstractNumId w:val="19"/>
  </w:num>
  <w:num w:numId="3">
    <w:abstractNumId w:val="12"/>
  </w:num>
  <w:num w:numId="4">
    <w:abstractNumId w:val="2"/>
  </w:num>
  <w:num w:numId="5">
    <w:abstractNumId w:val="17"/>
  </w:num>
  <w:num w:numId="6">
    <w:abstractNumId w:val="6"/>
  </w:num>
  <w:num w:numId="7">
    <w:abstractNumId w:val="14"/>
  </w:num>
  <w:num w:numId="8">
    <w:abstractNumId w:val="8"/>
  </w:num>
  <w:num w:numId="9">
    <w:abstractNumId w:val="16"/>
  </w:num>
  <w:num w:numId="10">
    <w:abstractNumId w:val="10"/>
  </w:num>
  <w:num w:numId="11">
    <w:abstractNumId w:val="7"/>
  </w:num>
  <w:num w:numId="12">
    <w:abstractNumId w:val="1"/>
  </w:num>
  <w:num w:numId="13">
    <w:abstractNumId w:val="20"/>
  </w:num>
  <w:num w:numId="14">
    <w:abstractNumId w:val="15"/>
  </w:num>
  <w:num w:numId="15">
    <w:abstractNumId w:val="4"/>
  </w:num>
  <w:num w:numId="16">
    <w:abstractNumId w:val="3"/>
  </w:num>
  <w:num w:numId="17">
    <w:abstractNumId w:val="11"/>
  </w:num>
  <w:num w:numId="18">
    <w:abstractNumId w:val="5"/>
  </w:num>
  <w:num w:numId="19">
    <w:abstractNumId w:val="9"/>
  </w:num>
  <w:num w:numId="20">
    <w:abstractNumId w:val="0"/>
  </w:num>
  <w:num w:numId="21">
    <w:abstractNumId w:val="18"/>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6C0CB7"/>
    <w:rsid w:val="05832D5D"/>
    <w:rsid w:val="12F215E0"/>
    <w:rsid w:val="1AB23A71"/>
    <w:rsid w:val="235756E5"/>
    <w:rsid w:val="243674C1"/>
    <w:rsid w:val="3086532C"/>
    <w:rsid w:val="3F0F0BE2"/>
    <w:rsid w:val="3F7A2500"/>
    <w:rsid w:val="486A50DB"/>
    <w:rsid w:val="596E221D"/>
    <w:rsid w:val="5F333425"/>
    <w:rsid w:val="5F6C0CB7"/>
    <w:rsid w:val="5FD650D9"/>
    <w:rsid w:val="703F7861"/>
    <w:rsid w:val="70A64653"/>
    <w:rsid w:val="715E4F2E"/>
    <w:rsid w:val="771E534B"/>
    <w:rsid w:val="7E6239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1"/>
    <w:pPr>
      <w:ind w:left="100"/>
      <w:outlineLvl w:val="1"/>
    </w:pPr>
    <w:rPr>
      <w:rFonts w:hint="eastAsia" w:ascii="宋体" w:hAnsi="宋体"/>
      <w:sz w:val="29"/>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rFonts w:ascii="Arial" w:hAnsi="Arial" w:cs="Verdana"/>
      <w:b/>
      <w:sz w:val="18"/>
      <w:lang w:eastAsia="en-US"/>
    </w:rPr>
  </w:style>
  <w:style w:type="paragraph" w:customStyle="1" w:styleId="6">
    <w:name w:val="null3"/>
    <w:qFormat/>
    <w:uiPriority w:val="0"/>
    <w:rPr>
      <w:rFonts w:hint="eastAsia" w:ascii="Times New Roman" w:hAnsi="Times New Roman" w:eastAsia="宋体" w:cs="Times New Roman"/>
      <w:lang w:val="en-US" w:eastAsia="zh-CN" w:bidi="ar-SA"/>
    </w:rPr>
  </w:style>
  <w:style w:type="paragraph" w:styleId="7">
    <w:name w:val="List Paragraph"/>
    <w:basedOn w:val="1"/>
    <w:qFormat/>
    <w:uiPriority w:val="0"/>
    <w:pPr>
      <w:ind w:firstLine="420" w:firstLineChars="200"/>
    </w:pPr>
    <w:rPr>
      <w:rFonts w:ascii="Calibri" w:hAnsi="Calibri"/>
      <w:kern w:val="0"/>
      <w:sz w:val="20"/>
    </w:rPr>
  </w:style>
  <w:style w:type="paragraph" w:customStyle="1" w:styleId="8">
    <w:name w:val="表格文字"/>
    <w:basedOn w:val="1"/>
    <w:qFormat/>
    <w:uiPriority w:val="0"/>
    <w:pPr>
      <w:spacing w:before="25" w:after="25"/>
    </w:pPr>
    <w:rPr>
      <w:bCs/>
      <w:spacing w:val="1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9346</Words>
  <Characters>9512</Characters>
  <Lines>0</Lines>
  <Paragraphs>0</Paragraphs>
  <TotalTime>11</TotalTime>
  <ScaleCrop>false</ScaleCrop>
  <LinksUpToDate>false</LinksUpToDate>
  <CharactersWithSpaces>9656</CharactersWithSpaces>
  <Application>WPS Office_12.1.0.22175_F1E327BC-269C-435d-A152-05C5408002CA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2026-05-11T03:18:00Z</dcterms:created>
  <dc:creator>DMY</dc:creator>
  <cp:lastModifiedBy>DMY</cp:lastModifiedBy>
  <dcterms:modified xsi:type="dcterms:W3CDTF">2026-06-01T03:26:34Z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2052-12.1.0.22175</vt:lpwstr>
  </property>
  <property fmtid="{D5CDD505-2E9C-101B-9397-08002B2CF9AE}" pid="3" name="ICV">
    <vt:lpwstr>8D6130AA98674FDC989BE007196F5056_13</vt:lpwstr>
  </property>
  <property fmtid="{D5CDD505-2E9C-101B-9397-08002B2CF9AE}" pid="4" name="KSOTemplateDocerSaveRecord">
    <vt:lpwstr>eyJoZGlkIjoiZTc1OTYyNWY3MDQwNWZmMTQ3ZmQxM2Q3NDkzYjhkNzYiLCJ1c2VySWQiOiI3MjM1OTkyODUifQ==</vt:lpwstr>
  </property>
</Properties>
</file>