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pageBreakBefore w:val="0"/>
        <w:kinsoku/>
        <w:wordWrap/>
        <w:overflowPunct/>
        <w:topLinePunct w:val="0"/>
        <w:autoSpaceDE/>
        <w:autoSpaceDN/>
        <w:bidi w:val="0"/>
        <w:snapToGrid/>
        <w:spacing w:line="360" w:lineRule="auto"/>
        <w:ind w:firstLine="480"/>
        <w:jc w:val="center"/>
        <w:outlineLvl w:val="1"/>
        <w:rPr>
          <w:rFonts w:hint="eastAsia" w:ascii="仿宋" w:hAnsi="仿宋" w:eastAsia="仿宋" w:cs="仿宋"/>
          <w:sz w:val="28"/>
          <w:szCs w:val="28"/>
        </w:rPr>
      </w:pPr>
      <w:r>
        <w:rPr>
          <w:rFonts w:hint="eastAsia" w:ascii="仿宋" w:hAnsi="仿宋" w:eastAsia="仿宋" w:cs="仿宋"/>
          <w:b/>
          <w:sz w:val="28"/>
          <w:szCs w:val="28"/>
        </w:rPr>
        <w:t>广州医科大学附属中医医院202</w:t>
      </w:r>
      <w:r>
        <w:rPr>
          <w:rFonts w:hint="eastAsia" w:ascii="仿宋" w:hAnsi="仿宋" w:eastAsia="仿宋" w:cs="仿宋"/>
          <w:b/>
          <w:sz w:val="28"/>
          <w:szCs w:val="28"/>
          <w:lang w:val="en-US" w:eastAsia="zh-CN"/>
        </w:rPr>
        <w:t>6</w:t>
      </w:r>
      <w:r>
        <w:rPr>
          <w:rFonts w:hint="eastAsia" w:ascii="仿宋" w:hAnsi="仿宋" w:eastAsia="仿宋" w:cs="仿宋"/>
          <w:b/>
          <w:sz w:val="28"/>
          <w:szCs w:val="28"/>
        </w:rPr>
        <w:t>年办公家具采购项目采购需求</w:t>
      </w:r>
    </w:p>
    <w:p>
      <w:pPr>
        <w:pStyle w:val="2"/>
        <w:pageBreakBefore w:val="0"/>
        <w:widowControl/>
        <w:numPr>
          <w:ilvl w:val="0"/>
          <w:numId w:val="1"/>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项目概况：</w:t>
      </w:r>
    </w:p>
    <w:p>
      <w:pPr>
        <w:pStyle w:val="13"/>
        <w:pageBreakBefore w:val="0"/>
        <w:kinsoku/>
        <w:wordWrap/>
        <w:overflowPunct/>
        <w:topLinePunct w:val="0"/>
        <w:autoSpaceDE/>
        <w:autoSpaceDN/>
        <w:bidi w:val="0"/>
        <w:snapToGrid/>
        <w:spacing w:line="360" w:lineRule="auto"/>
        <w:rPr>
          <w:rFonts w:hint="default" w:ascii="仿宋" w:hAnsi="仿宋" w:eastAsia="仿宋" w:cs="仿宋"/>
          <w:color w:val="000000"/>
          <w:sz w:val="28"/>
          <w:szCs w:val="28"/>
          <w:lang w:val="en-US" w:eastAsia="zh-CN"/>
        </w:rPr>
      </w:pPr>
      <w:r>
        <w:rPr>
          <w:rFonts w:hint="eastAsia" w:ascii="仿宋" w:hAnsi="仿宋" w:eastAsia="仿宋" w:cs="仿宋"/>
          <w:color w:val="auto"/>
          <w:sz w:val="28"/>
          <w:szCs w:val="28"/>
        </w:rPr>
        <w:t>采购人拟进行广州医科大学附属中医医院202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年办公家具采购项目</w:t>
      </w:r>
      <w:r>
        <w:rPr>
          <w:rFonts w:hint="eastAsia" w:ascii="仿宋" w:hAnsi="仿宋" w:eastAsia="仿宋" w:cs="仿宋"/>
          <w:color w:val="000000"/>
          <w:sz w:val="28"/>
          <w:szCs w:val="28"/>
        </w:rPr>
        <w:t>，最高限价为85</w:t>
      </w:r>
      <w:r>
        <w:rPr>
          <w:rFonts w:hint="eastAsia" w:ascii="仿宋" w:hAnsi="仿宋" w:eastAsia="仿宋" w:cs="仿宋"/>
          <w:color w:val="000000"/>
          <w:sz w:val="28"/>
          <w:szCs w:val="28"/>
          <w:lang w:val="en-US" w:eastAsia="zh-CN"/>
        </w:rPr>
        <w:t>万</w:t>
      </w:r>
      <w:r>
        <w:rPr>
          <w:rFonts w:hint="eastAsia" w:ascii="仿宋" w:hAnsi="仿宋" w:eastAsia="仿宋" w:cs="仿宋"/>
          <w:color w:val="000000"/>
          <w:sz w:val="28"/>
          <w:szCs w:val="28"/>
        </w:rPr>
        <w:t>元。</w:t>
      </w:r>
      <w:r>
        <w:rPr>
          <w:rFonts w:hint="eastAsia" w:ascii="仿宋" w:hAnsi="仿宋" w:eastAsia="仿宋" w:cs="仿宋"/>
          <w:color w:val="000000"/>
          <w:sz w:val="28"/>
          <w:szCs w:val="28"/>
          <w:lang w:val="en-US" w:eastAsia="zh-CN"/>
        </w:rPr>
        <w:t>合同期限12个月。</w:t>
      </w:r>
    </w:p>
    <w:p>
      <w:pPr>
        <w:pStyle w:val="13"/>
        <w:pageBreakBefore w:val="0"/>
        <w:kinsoku/>
        <w:wordWrap/>
        <w:overflowPunct/>
        <w:topLinePunct w:val="0"/>
        <w:autoSpaceDE/>
        <w:autoSpaceDN/>
        <w:bidi w:val="0"/>
        <w:snapToGrid/>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本项目属性：货物类。</w:t>
      </w:r>
    </w:p>
    <w:p>
      <w:pPr>
        <w:pStyle w:val="13"/>
        <w:pageBreakBefore w:val="0"/>
        <w:kinsoku/>
        <w:wordWrap/>
        <w:overflowPunct/>
        <w:topLinePunct w:val="0"/>
        <w:autoSpaceDE/>
        <w:autoSpaceDN/>
        <w:bidi w:val="0"/>
        <w:snapToGrid/>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采购人拟采购的所有产品均属于《环境标志产品政府采购品目清单》范围，供应商需填写《政策适用性说明》（见调研资料格式）并提交相关证明材料（证明材料包括：1.该产品属于《环境标志产品政府采购品目清单》范围的相关内容页，并对相关内容作圈记；2.市场监管总局公布的参与实施政府采购环境标志产品认证机构名录截图；3.该产品获得的由国家确定的认证机构出具的、处于有效期之内的环境标志产品认证证书），作为技术评审的依据（注：《环境标志产品政府采购品目清单》供应商可查询中国政府采购网，网址http://www.ccgp.gov.cn）。</w:t>
      </w:r>
    </w:p>
    <w:p>
      <w:pPr>
        <w:pStyle w:val="13"/>
        <w:pageBreakBefore w:val="0"/>
        <w:kinsoku/>
        <w:wordWrap/>
        <w:overflowPunct/>
        <w:topLinePunct w:val="0"/>
        <w:autoSpaceDE/>
        <w:autoSpaceDN/>
        <w:bidi w:val="0"/>
        <w:snapToGrid/>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★本次采购产品为非进口产品（进口产品指通过中国海关报关验放进入中国境内且产自关境外的产品）。</w:t>
      </w:r>
    </w:p>
    <w:p>
      <w:pPr>
        <w:pStyle w:val="13"/>
        <w:pageBreakBefore w:val="0"/>
        <w:kinsoku/>
        <w:wordWrap/>
        <w:overflowPunct/>
        <w:topLinePunct w:val="0"/>
        <w:autoSpaceDE/>
        <w:autoSpaceDN/>
        <w:bidi w:val="0"/>
        <w:snapToGrid/>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根据《中华人民共和国实施强制性产品认证的产品目录》，所有列入目录的产品必须通过国家指定的认证机构进行认证，并获得相应的CCC认证证书。供应商在提供产品时，必须承诺在交货时提供该产品的CCC认证证书，以确保产品符合国家的安全和质量标准。</w:t>
      </w:r>
    </w:p>
    <w:p>
      <w:pPr>
        <w:pStyle w:val="2"/>
        <w:pageBreakBefore w:val="0"/>
        <w:numPr>
          <w:ilvl w:val="0"/>
          <w:numId w:val="1"/>
        </w:numPr>
        <w:kinsoku/>
        <w:wordWrap/>
        <w:overflowPunct/>
        <w:topLinePunct w:val="0"/>
        <w:autoSpaceDE/>
        <w:autoSpaceDN/>
        <w:bidi w:val="0"/>
        <w:snapToGrid/>
        <w:spacing w:line="360" w:lineRule="auto"/>
        <w:ind w:left="0" w:leftChars="0" w:firstLine="0" w:firstLineChars="0"/>
        <w:rPr>
          <w:rFonts w:hint="eastAsia" w:ascii="仿宋" w:hAnsi="仿宋" w:eastAsia="仿宋" w:cs="仿宋"/>
          <w:color w:val="auto"/>
          <w:kern w:val="0"/>
          <w:sz w:val="28"/>
          <w:szCs w:val="28"/>
          <w:lang w:val="en-US" w:eastAsia="zh-CN"/>
        </w:rPr>
      </w:pPr>
      <w:r>
        <w:rPr>
          <w:rFonts w:hint="eastAsia" w:ascii="仿宋" w:hAnsi="仿宋" w:eastAsia="仿宋" w:cs="仿宋"/>
          <w:sz w:val="28"/>
          <w:szCs w:val="28"/>
        </w:rPr>
        <w:t>商务部分</w:t>
      </w:r>
    </w:p>
    <w:p>
      <w:pPr>
        <w:pStyle w:val="3"/>
        <w:pageBreakBefore w:val="0"/>
        <w:numPr>
          <w:ilvl w:val="0"/>
          <w:numId w:val="2"/>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合同</w:t>
      </w:r>
      <w:r>
        <w:rPr>
          <w:rFonts w:hint="eastAsia" w:ascii="仿宋" w:hAnsi="仿宋" w:eastAsia="仿宋" w:cs="仿宋"/>
          <w:sz w:val="28"/>
          <w:szCs w:val="28"/>
          <w:lang w:eastAsia="zh-CN"/>
        </w:rPr>
        <w:t>期限</w:t>
      </w:r>
      <w:r>
        <w:rPr>
          <w:rFonts w:hint="eastAsia" w:ascii="仿宋" w:hAnsi="仿宋" w:eastAsia="仿宋" w:cs="仿宋"/>
          <w:sz w:val="28"/>
          <w:szCs w:val="28"/>
        </w:rPr>
        <w:t>及合同金额</w:t>
      </w:r>
    </w:p>
    <w:p>
      <w:pPr>
        <w:pStyle w:val="13"/>
        <w:pageBreakBefore w:val="0"/>
        <w:numPr>
          <w:ilvl w:val="0"/>
          <w:numId w:val="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bCs w:val="0"/>
          <w:sz w:val="28"/>
          <w:szCs w:val="28"/>
        </w:rPr>
      </w:pPr>
      <w:r>
        <w:rPr>
          <w:rFonts w:hint="eastAsia" w:ascii="仿宋" w:hAnsi="仿宋" w:eastAsia="仿宋" w:cs="仿宋"/>
          <w:sz w:val="28"/>
          <w:szCs w:val="28"/>
        </w:rPr>
        <w:t>成交供应商须负责货物的材料采购、生产制作及配套安装工作。</w:t>
      </w:r>
    </w:p>
    <w:p>
      <w:pPr>
        <w:pStyle w:val="13"/>
        <w:pageBreakBefore w:val="0"/>
        <w:numPr>
          <w:ilvl w:val="0"/>
          <w:numId w:val="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bCs w:val="0"/>
          <w:color w:val="auto"/>
          <w:sz w:val="28"/>
          <w:szCs w:val="28"/>
          <w:highlight w:val="none"/>
        </w:rPr>
      </w:pPr>
      <w:r>
        <w:rPr>
          <w:rStyle w:val="37"/>
          <w:rFonts w:hint="eastAsia" w:ascii="仿宋" w:hAnsi="仿宋" w:eastAsia="仿宋" w:cs="仿宋"/>
          <w:b w:val="0"/>
          <w:bCs w:val="0"/>
          <w:sz w:val="28"/>
          <w:szCs w:val="28"/>
          <w:lang w:eastAsia="zh-CN"/>
        </w:rPr>
        <w:t>合同自生效之日起，项目执行期限为12个月。在此期间，采购数量以暂定需求为准，但采购人有权在约定范围内根据实际需要进行调整，并依据实际采购数量进行结算。</w:t>
      </w:r>
    </w:p>
    <w:p>
      <w:pPr>
        <w:pStyle w:val="13"/>
        <w:pageBreakBefore w:val="0"/>
        <w:numPr>
          <w:ilvl w:val="0"/>
          <w:numId w:val="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lang w:eastAsia="zh-CN"/>
        </w:rPr>
        <w:t>本项目涵盖定制化服务。若采购人在合同中需追加同类定制化货物，中标方需承诺提供定制供货服务，并与采购方通过友好协商，以补充协议的方式予以实施。</w:t>
      </w:r>
    </w:p>
    <w:p>
      <w:pPr>
        <w:pStyle w:val="13"/>
        <w:pageBreakBefore w:val="0"/>
        <w:numPr>
          <w:ilvl w:val="0"/>
          <w:numId w:val="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如有超出供货明细表以外的定制产品，供应商需在收到计划后3日内出样图并报价。定制产品的材质、工艺和重要参数与《202</w:t>
      </w:r>
      <w:r>
        <w:rPr>
          <w:rFonts w:hint="eastAsia" w:ascii="仿宋" w:hAnsi="仿宋" w:eastAsia="仿宋" w:cs="仿宋"/>
          <w:sz w:val="28"/>
          <w:szCs w:val="28"/>
          <w:lang w:val="en-US" w:eastAsia="zh-CN"/>
        </w:rPr>
        <w:t>6</w:t>
      </w:r>
      <w:r>
        <w:rPr>
          <w:rFonts w:hint="eastAsia" w:ascii="仿宋" w:hAnsi="仿宋" w:eastAsia="仿宋" w:cs="仿宋"/>
          <w:sz w:val="28"/>
          <w:szCs w:val="28"/>
        </w:rPr>
        <w:t>年办公家具采购项目需求清单》中某一产品相同的，其长、宽、高变动比例在正负5%以内，价格不作变更；大于5%的，定制产品价格=需求清单内相同产品报价×（定制产品的长×宽×高）÷（需求清单内相同产品的长×宽×高）。若定制产品与《需求清单》某一产品相似的，定制产品参考《需求清单》类似产品定价。若没有可供参考的价格，由双方协商。</w:t>
      </w:r>
      <w:r>
        <w:rPr>
          <w:rFonts w:hint="eastAsia" w:ascii="仿宋" w:hAnsi="仿宋" w:eastAsia="仿宋" w:cs="仿宋"/>
          <w:sz w:val="28"/>
          <w:szCs w:val="28"/>
          <w:lang w:eastAsia="zh-CN"/>
        </w:rPr>
        <w:t>所有订单的最终结算价格，均以采购方审核并确认的价格为准。</w:t>
      </w:r>
    </w:p>
    <w:p>
      <w:pPr>
        <w:pStyle w:val="13"/>
        <w:pageBreakBefore w:val="0"/>
        <w:numPr>
          <w:ilvl w:val="0"/>
          <w:numId w:val="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合同执行期满或交易金额已达到合同金额后，本项目合同结束。</w:t>
      </w:r>
    </w:p>
    <w:p>
      <w:pPr>
        <w:pStyle w:val="13"/>
        <w:pageBreakBefore w:val="0"/>
        <w:numPr>
          <w:ilvl w:val="0"/>
          <w:numId w:val="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highlight w:val="none"/>
        </w:rPr>
      </w:pPr>
      <w:r>
        <w:rPr>
          <w:rFonts w:hint="eastAsia" w:ascii="仿宋" w:hAnsi="仿宋" w:eastAsia="仿宋" w:cs="仿宋"/>
          <w:b w:val="0"/>
          <w:color w:val="auto"/>
          <w:sz w:val="28"/>
          <w:szCs w:val="28"/>
          <w:highlight w:val="none"/>
        </w:rPr>
        <w:t>本项目采购过程和合同执行过程中如国家、省、市有新标准或规定文件发布的，以最新的文件为准。</w:t>
      </w:r>
    </w:p>
    <w:p>
      <w:pPr>
        <w:pageBreakBefore w:val="0"/>
        <w:kinsoku/>
        <w:wordWrap/>
        <w:overflowPunct/>
        <w:topLinePunct w:val="0"/>
        <w:autoSpaceDE/>
        <w:autoSpaceDN/>
        <w:bidi w:val="0"/>
        <w:snapToGrid/>
        <w:spacing w:line="360" w:lineRule="auto"/>
        <w:rPr>
          <w:rFonts w:hint="eastAsia" w:ascii="仿宋" w:hAnsi="仿宋" w:eastAsia="仿宋" w:cs="仿宋"/>
          <w:sz w:val="28"/>
          <w:szCs w:val="28"/>
          <w:highlight w:val="none"/>
          <w:lang w:val="zh-CN"/>
        </w:rPr>
      </w:pPr>
    </w:p>
    <w:p>
      <w:pPr>
        <w:pStyle w:val="3"/>
        <w:pageBreakBefore w:val="0"/>
        <w:numPr>
          <w:ilvl w:val="0"/>
          <w:numId w:val="2"/>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交货期</w:t>
      </w:r>
    </w:p>
    <w:p>
      <w:pPr>
        <w:pStyle w:val="13"/>
        <w:pageBreakBefore w:val="0"/>
        <w:numPr>
          <w:ilvl w:val="0"/>
          <w:numId w:val="4"/>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auto"/>
          <w:sz w:val="28"/>
          <w:szCs w:val="28"/>
        </w:rPr>
      </w:pPr>
      <w:r>
        <w:rPr>
          <w:rFonts w:hint="eastAsia" w:ascii="仿宋" w:hAnsi="仿宋" w:eastAsia="仿宋" w:cs="仿宋"/>
          <w:b w:val="0"/>
          <w:color w:val="auto"/>
          <w:sz w:val="28"/>
          <w:szCs w:val="28"/>
          <w:highlight w:val="none"/>
        </w:rPr>
        <w:t>交货期：</w:t>
      </w:r>
      <w:r>
        <w:rPr>
          <w:rFonts w:hint="eastAsia" w:ascii="仿宋" w:hAnsi="仿宋" w:eastAsia="仿宋" w:cs="仿宋"/>
          <w:color w:val="000000"/>
          <w:sz w:val="28"/>
          <w:szCs w:val="28"/>
        </w:rPr>
        <w:t>成交供应商需收到采购人的采购计划后的5个工作日内上门测量、报价</w:t>
      </w:r>
      <w:r>
        <w:rPr>
          <w:rFonts w:hint="eastAsia" w:ascii="仿宋" w:hAnsi="仿宋" w:eastAsia="仿宋" w:cs="仿宋"/>
          <w:color w:val="000000"/>
          <w:sz w:val="28"/>
          <w:szCs w:val="28"/>
          <w:lang w:eastAsia="zh-CN"/>
        </w:rPr>
        <w:t>，经</w:t>
      </w:r>
      <w:r>
        <w:rPr>
          <w:rFonts w:hint="eastAsia" w:ascii="仿宋" w:hAnsi="仿宋" w:eastAsia="仿宋" w:cs="仿宋"/>
          <w:color w:val="000000"/>
          <w:sz w:val="28"/>
          <w:szCs w:val="28"/>
        </w:rPr>
        <w:t>采购人审核后生成采购订单，成交供应商接到采购人订单后的10个工作日内完成货物的生产并将货物安装到采购人指定地点；如因采购方紧急业务需要，供货商交货时间响应时间在2个工作日内。</w:t>
      </w:r>
    </w:p>
    <w:p>
      <w:pPr>
        <w:pStyle w:val="13"/>
        <w:pageBreakBefore w:val="0"/>
        <w:numPr>
          <w:ilvl w:val="0"/>
          <w:numId w:val="4"/>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000000"/>
          <w:sz w:val="28"/>
          <w:szCs w:val="28"/>
        </w:rPr>
      </w:pPr>
      <w:r>
        <w:rPr>
          <w:rFonts w:hint="eastAsia" w:ascii="仿宋" w:hAnsi="仿宋" w:eastAsia="仿宋" w:cs="仿宋"/>
          <w:color w:val="000000"/>
          <w:sz w:val="28"/>
          <w:szCs w:val="28"/>
        </w:rPr>
        <w:t>供应商不按规定逾期交货的，须向采购人偿付逾期货物总值的20%的违约金。连续出现3次，采购人有权终止协议。</w:t>
      </w:r>
    </w:p>
    <w:p>
      <w:pPr>
        <w:pStyle w:val="3"/>
        <w:pageBreakBefore w:val="0"/>
        <w:numPr>
          <w:ilvl w:val="0"/>
          <w:numId w:val="2"/>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highlight w:val="none"/>
        </w:rPr>
      </w:pPr>
      <w:r>
        <w:rPr>
          <w:rFonts w:hint="eastAsia" w:ascii="仿宋" w:hAnsi="仿宋" w:eastAsia="仿宋" w:cs="仿宋"/>
          <w:sz w:val="28"/>
          <w:szCs w:val="28"/>
          <w:highlight w:val="none"/>
        </w:rPr>
        <w:t>交货方式</w:t>
      </w:r>
    </w:p>
    <w:p>
      <w:pPr>
        <w:pStyle w:val="13"/>
        <w:pageBreakBefore w:val="0"/>
        <w:numPr>
          <w:ilvl w:val="0"/>
          <w:numId w:val="5"/>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交货方式：成交供应商在每批次货物生产、送货前，与甲方核对确认所采购货物的颜色、尺寸、材质、款式、数量等要素，形成文字材料依据并经双方确认签字后，乙方按采购人要求将货物运到甲方指定地点，并完成安装。</w:t>
      </w:r>
      <w:r>
        <w:rPr>
          <w:rFonts w:hint="eastAsia" w:ascii="仿宋" w:hAnsi="仿宋" w:eastAsia="仿宋" w:cs="仿宋"/>
          <w:b w:val="0"/>
          <w:color w:val="auto"/>
          <w:sz w:val="28"/>
          <w:szCs w:val="28"/>
          <w:highlight w:val="none"/>
          <w:lang w:eastAsia="zh-CN"/>
        </w:rPr>
        <w:t>若乙方在货物生产或送货前，未与甲方确认所采购货物的颜色、尺寸、材质、款式、数量等相关要素而擅自提前生产或送货，甲方将有权拒绝收货及验收，且由此产生的所有损失将由乙方自行承担。</w:t>
      </w:r>
    </w:p>
    <w:p>
      <w:pPr>
        <w:pStyle w:val="13"/>
        <w:pageBreakBefore w:val="0"/>
        <w:numPr>
          <w:ilvl w:val="0"/>
          <w:numId w:val="5"/>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货物验收前，成交供应商可在采购人提供的场地安置存放货物，采购人不负保管义务。</w:t>
      </w:r>
    </w:p>
    <w:p>
      <w:pPr>
        <w:pStyle w:val="13"/>
        <w:pageBreakBefore w:val="0"/>
        <w:numPr>
          <w:ilvl w:val="0"/>
          <w:numId w:val="5"/>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color w:val="auto"/>
          <w:sz w:val="28"/>
          <w:szCs w:val="28"/>
          <w:highlight w:val="none"/>
        </w:rPr>
      </w:pPr>
      <w:r>
        <w:rPr>
          <w:rStyle w:val="37"/>
          <w:rFonts w:hint="eastAsia" w:ascii="仿宋" w:hAnsi="仿宋" w:eastAsia="仿宋" w:cs="仿宋"/>
          <w:b w:val="0"/>
          <w:bCs w:val="0"/>
          <w:sz w:val="28"/>
          <w:szCs w:val="28"/>
        </w:rPr>
        <w:t>成交供应商应严格按照采购人的数量、规格和工艺进行制作，确保</w:t>
      </w:r>
      <w:r>
        <w:rPr>
          <w:rFonts w:hint="eastAsia" w:ascii="仿宋" w:hAnsi="仿宋" w:eastAsia="仿宋" w:cs="仿宋"/>
          <w:b w:val="0"/>
          <w:bCs w:val="0"/>
          <w:color w:val="000000"/>
          <w:sz w:val="28"/>
          <w:szCs w:val="28"/>
        </w:rPr>
        <w:t>办公家</w:t>
      </w:r>
      <w:r>
        <w:rPr>
          <w:rFonts w:hint="eastAsia" w:ascii="仿宋" w:hAnsi="仿宋" w:eastAsia="仿宋" w:cs="仿宋"/>
          <w:color w:val="000000"/>
          <w:sz w:val="28"/>
          <w:szCs w:val="28"/>
        </w:rPr>
        <w:t>具的质量和安全性，并按要求安装完好。</w:t>
      </w:r>
    </w:p>
    <w:p>
      <w:pPr>
        <w:pStyle w:val="3"/>
        <w:pageBreakBefore w:val="0"/>
        <w:numPr>
          <w:ilvl w:val="0"/>
          <w:numId w:val="2"/>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highlight w:val="none"/>
        </w:rPr>
      </w:pPr>
      <w:r>
        <w:rPr>
          <w:rFonts w:hint="eastAsia" w:ascii="仿宋" w:hAnsi="仿宋" w:eastAsia="仿宋" w:cs="仿宋"/>
          <w:sz w:val="28"/>
          <w:szCs w:val="28"/>
          <w:highlight w:val="none"/>
        </w:rPr>
        <w:t>交货地点：</w:t>
      </w:r>
    </w:p>
    <w:p>
      <w:pPr>
        <w:pStyle w:val="13"/>
        <w:pageBreakBefore w:val="0"/>
        <w:numPr>
          <w:ilvl w:val="0"/>
          <w:numId w:val="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000000"/>
          <w:sz w:val="28"/>
          <w:szCs w:val="28"/>
        </w:rPr>
      </w:pPr>
      <w:r>
        <w:rPr>
          <w:rFonts w:hint="eastAsia" w:ascii="仿宋" w:hAnsi="仿宋" w:eastAsia="仿宋" w:cs="仿宋"/>
          <w:color w:val="000000"/>
          <w:sz w:val="28"/>
          <w:szCs w:val="28"/>
        </w:rPr>
        <w:t>天河院区（广州市天河区棠下街道天坤三路95号）；</w:t>
      </w:r>
    </w:p>
    <w:p>
      <w:pPr>
        <w:pStyle w:val="13"/>
        <w:pageBreakBefore w:val="0"/>
        <w:numPr>
          <w:ilvl w:val="0"/>
          <w:numId w:val="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000000"/>
          <w:sz w:val="28"/>
          <w:szCs w:val="28"/>
        </w:rPr>
      </w:pPr>
      <w:r>
        <w:rPr>
          <w:rFonts w:hint="eastAsia" w:ascii="仿宋" w:hAnsi="仿宋" w:eastAsia="仿宋" w:cs="仿宋"/>
          <w:color w:val="000000"/>
          <w:sz w:val="28"/>
          <w:szCs w:val="28"/>
        </w:rPr>
        <w:t>珠玑院区（广州市荔湾区珠玑路16号）；</w:t>
      </w:r>
    </w:p>
    <w:p>
      <w:pPr>
        <w:pStyle w:val="13"/>
        <w:pageBreakBefore w:val="0"/>
        <w:numPr>
          <w:ilvl w:val="0"/>
          <w:numId w:val="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000000"/>
          <w:sz w:val="28"/>
          <w:szCs w:val="28"/>
        </w:rPr>
      </w:pPr>
      <w:r>
        <w:rPr>
          <w:rFonts w:hint="eastAsia" w:ascii="仿宋" w:hAnsi="仿宋" w:eastAsia="仿宋" w:cs="仿宋"/>
          <w:color w:val="000000"/>
          <w:sz w:val="28"/>
          <w:szCs w:val="28"/>
        </w:rPr>
        <w:t>同德围院区（广州市白云区横滘二路81号）；</w:t>
      </w:r>
    </w:p>
    <w:p>
      <w:pPr>
        <w:pStyle w:val="13"/>
        <w:pageBreakBefore w:val="0"/>
        <w:numPr>
          <w:ilvl w:val="0"/>
          <w:numId w:val="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000000"/>
          <w:sz w:val="28"/>
          <w:szCs w:val="28"/>
        </w:rPr>
      </w:pPr>
      <w:r>
        <w:rPr>
          <w:rFonts w:hint="eastAsia" w:ascii="仿宋" w:hAnsi="仿宋" w:eastAsia="仿宋" w:cs="仿宋"/>
          <w:color w:val="000000"/>
          <w:sz w:val="28"/>
          <w:szCs w:val="28"/>
        </w:rPr>
        <w:t>同德综合门诊部（广州市白云区横滘二路27号）；</w:t>
      </w:r>
    </w:p>
    <w:p>
      <w:pPr>
        <w:pStyle w:val="13"/>
        <w:pageBreakBefore w:val="0"/>
        <w:numPr>
          <w:ilvl w:val="0"/>
          <w:numId w:val="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000000"/>
          <w:sz w:val="28"/>
          <w:szCs w:val="28"/>
        </w:rPr>
      </w:pPr>
      <w:r>
        <w:rPr>
          <w:rFonts w:hint="eastAsia" w:ascii="仿宋" w:hAnsi="仿宋" w:eastAsia="仿宋" w:cs="仿宋"/>
          <w:color w:val="000000"/>
          <w:sz w:val="28"/>
          <w:szCs w:val="28"/>
        </w:rPr>
        <w:t>五羊门诊部（广州市越秀区寺右新马路北三街二巷1号）；</w:t>
      </w:r>
    </w:p>
    <w:p>
      <w:pPr>
        <w:pStyle w:val="13"/>
        <w:pageBreakBefore w:val="0"/>
        <w:numPr>
          <w:ilvl w:val="0"/>
          <w:numId w:val="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000000"/>
          <w:sz w:val="28"/>
          <w:szCs w:val="28"/>
        </w:rPr>
      </w:pPr>
      <w:r>
        <w:rPr>
          <w:rFonts w:hint="eastAsia" w:ascii="仿宋" w:hAnsi="仿宋" w:eastAsia="仿宋" w:cs="仿宋"/>
          <w:color w:val="000000"/>
          <w:sz w:val="28"/>
          <w:szCs w:val="28"/>
        </w:rPr>
        <w:t>潭岗制剂楼（广州市白云区大基路370号）；</w:t>
      </w:r>
    </w:p>
    <w:p>
      <w:pPr>
        <w:pStyle w:val="13"/>
        <w:pageBreakBefore w:val="0"/>
        <w:numPr>
          <w:ilvl w:val="0"/>
          <w:numId w:val="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333333"/>
          <w:sz w:val="28"/>
          <w:szCs w:val="28"/>
        </w:rPr>
      </w:pPr>
      <w:r>
        <w:rPr>
          <w:rStyle w:val="23"/>
          <w:rFonts w:hint="eastAsia" w:ascii="仿宋" w:hAnsi="仿宋" w:eastAsia="仿宋" w:cs="仿宋"/>
          <w:b w:val="0"/>
          <w:color w:val="333333"/>
          <w:sz w:val="28"/>
          <w:szCs w:val="28"/>
          <w:u w:val="none"/>
        </w:rPr>
        <w:t>康乐大厦（广州市天河区中山大道中1003号）；</w:t>
      </w:r>
    </w:p>
    <w:p>
      <w:pPr>
        <w:pStyle w:val="13"/>
        <w:pageBreakBefore w:val="0"/>
        <w:kinsoku/>
        <w:wordWrap/>
        <w:overflowPunct/>
        <w:topLinePunct w:val="0"/>
        <w:autoSpaceDE/>
        <w:autoSpaceDN/>
        <w:bidi w:val="0"/>
        <w:snapToGrid/>
        <w:spacing w:line="360" w:lineRule="auto"/>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具体交货地点由采购人指定。</w:t>
      </w:r>
    </w:p>
    <w:p>
      <w:pPr>
        <w:pStyle w:val="3"/>
        <w:pageBreakBefore w:val="0"/>
        <w:numPr>
          <w:ilvl w:val="0"/>
          <w:numId w:val="2"/>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报价要求：</w:t>
      </w:r>
    </w:p>
    <w:p>
      <w:pPr>
        <w:pStyle w:val="13"/>
        <w:pageBreakBefore w:val="0"/>
        <w:numPr>
          <w:ilvl w:val="0"/>
          <w:numId w:val="7"/>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000000"/>
          <w:sz w:val="28"/>
          <w:szCs w:val="28"/>
        </w:rPr>
      </w:pPr>
      <w:r>
        <w:rPr>
          <w:rFonts w:hint="eastAsia" w:ascii="仿宋" w:hAnsi="仿宋" w:eastAsia="仿宋" w:cs="仿宋"/>
          <w:color w:val="000000"/>
          <w:sz w:val="28"/>
          <w:szCs w:val="28"/>
          <w:lang w:eastAsia="zh-CN"/>
        </w:rPr>
        <w:t>成交供应商的投标总报价应全面涵盖：货物采购、设计、制作、包装、装卸（含吊装）、运输、保管、安装、调试、质量保证、验收通过、质保期服务等各项成本费用；并额外包括利润、风险准备金、保险费、税金、售后服务费用，以及采购人认定的本项目及合同执行中可预见与不可预见的一切含税开支。</w:t>
      </w:r>
    </w:p>
    <w:p>
      <w:pPr>
        <w:pStyle w:val="13"/>
        <w:pageBreakBefore w:val="0"/>
        <w:numPr>
          <w:ilvl w:val="0"/>
          <w:numId w:val="7"/>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000000"/>
          <w:sz w:val="28"/>
          <w:szCs w:val="28"/>
        </w:rPr>
      </w:pPr>
      <w:r>
        <w:rPr>
          <w:rFonts w:hint="eastAsia" w:ascii="仿宋" w:hAnsi="仿宋" w:eastAsia="仿宋" w:cs="仿宋"/>
          <w:color w:val="000000"/>
          <w:sz w:val="28"/>
          <w:szCs w:val="28"/>
        </w:rPr>
        <w:t>上述费用如涉及多次需求，所有费用均应包含在响应总价内，</w:t>
      </w:r>
      <w:r>
        <w:rPr>
          <w:rFonts w:hint="eastAsia" w:ascii="仿宋" w:hAnsi="仿宋" w:eastAsia="仿宋" w:cs="仿宋"/>
          <w:color w:val="000000"/>
          <w:sz w:val="28"/>
          <w:szCs w:val="28"/>
          <w:lang w:eastAsia="zh-CN"/>
        </w:rPr>
        <w:t>成交供应商需深入理解调研文件精髓，紧密围绕项目目标制定投标方案，并据此进行精确报价；</w:t>
      </w:r>
      <w:r>
        <w:rPr>
          <w:rFonts w:hint="eastAsia" w:ascii="仿宋" w:hAnsi="仿宋" w:eastAsia="仿宋" w:cs="仿宋"/>
          <w:color w:val="000000"/>
          <w:sz w:val="28"/>
          <w:szCs w:val="28"/>
        </w:rPr>
        <w:t>成交供应商应根据项目实际情况，自行增加项目正常、合法、安全运行及使用所必需但调研文件中没有列明或包含的内容及费用，并在响应文件中加以详细说明。</w:t>
      </w:r>
      <w:r>
        <w:rPr>
          <w:rFonts w:hint="eastAsia" w:ascii="仿宋" w:hAnsi="仿宋" w:eastAsia="仿宋" w:cs="仿宋"/>
          <w:color w:val="000000"/>
          <w:sz w:val="28"/>
          <w:szCs w:val="28"/>
          <w:lang w:eastAsia="zh-CN"/>
        </w:rPr>
        <w:t>成交供应商一旦接收成交通知书并签署合同，对于招标范围内出现的任何遗漏项，均须免费提供，采购人对此不再承担任何费用。</w:t>
      </w:r>
    </w:p>
    <w:p>
      <w:pPr>
        <w:pStyle w:val="13"/>
        <w:pageBreakBefore w:val="0"/>
        <w:numPr>
          <w:ilvl w:val="0"/>
          <w:numId w:val="7"/>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000000"/>
          <w:sz w:val="28"/>
          <w:szCs w:val="28"/>
        </w:rPr>
      </w:pPr>
      <w:r>
        <w:rPr>
          <w:rFonts w:hint="eastAsia" w:ascii="仿宋" w:hAnsi="仿宋" w:eastAsia="仿宋" w:cs="仿宋"/>
          <w:color w:val="000000"/>
          <w:sz w:val="28"/>
          <w:szCs w:val="28"/>
        </w:rPr>
        <w:t>合同期内，无论市场物价是否有上升因素波动，成交供应商都不得以任何理由变更产品的中标单价。</w:t>
      </w:r>
      <w:r>
        <w:rPr>
          <w:rFonts w:hint="eastAsia" w:ascii="仿宋" w:hAnsi="仿宋" w:eastAsia="仿宋" w:cs="仿宋"/>
          <w:color w:val="000000"/>
          <w:sz w:val="28"/>
          <w:szCs w:val="28"/>
          <w:lang w:eastAsia="zh-CN"/>
        </w:rPr>
        <w:t>成交供应商需在响应时充分考虑生产、仓储运输及原材料价格波动等风险，确保所有相关费用已纳入响应总价。</w:t>
      </w:r>
    </w:p>
    <w:p>
      <w:pPr>
        <w:pStyle w:val="13"/>
        <w:pageBreakBefore w:val="0"/>
        <w:numPr>
          <w:ilvl w:val="0"/>
          <w:numId w:val="7"/>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000000"/>
          <w:sz w:val="28"/>
          <w:szCs w:val="28"/>
        </w:rPr>
      </w:pPr>
      <w:r>
        <w:rPr>
          <w:rFonts w:hint="eastAsia" w:ascii="仿宋" w:hAnsi="仿宋" w:eastAsia="仿宋" w:cs="仿宋"/>
          <w:color w:val="000000"/>
          <w:sz w:val="28"/>
          <w:szCs w:val="28"/>
        </w:rPr>
        <w:t>投标总报价不得高于</w:t>
      </w:r>
      <w:r>
        <w:rPr>
          <w:rFonts w:hint="eastAsia" w:ascii="仿宋" w:hAnsi="仿宋" w:eastAsia="仿宋" w:cs="仿宋"/>
          <w:color w:val="000000"/>
          <w:sz w:val="28"/>
          <w:szCs w:val="28"/>
          <w:lang w:val="en-US" w:eastAsia="zh-CN"/>
        </w:rPr>
        <w:t>最高限价</w:t>
      </w:r>
      <w:r>
        <w:rPr>
          <w:rFonts w:hint="eastAsia" w:ascii="仿宋" w:hAnsi="仿宋" w:eastAsia="仿宋" w:cs="仿宋"/>
          <w:color w:val="000000"/>
          <w:sz w:val="28"/>
          <w:szCs w:val="28"/>
        </w:rPr>
        <w:t>（超出该上限的投标报价将作为无效投标处理）。</w:t>
      </w:r>
    </w:p>
    <w:p>
      <w:pPr>
        <w:pStyle w:val="13"/>
        <w:pageBreakBefore w:val="0"/>
        <w:numPr>
          <w:ilvl w:val="0"/>
          <w:numId w:val="7"/>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000000"/>
          <w:sz w:val="28"/>
          <w:szCs w:val="28"/>
        </w:rPr>
      </w:pPr>
      <w:r>
        <w:rPr>
          <w:rFonts w:hint="eastAsia" w:ascii="仿宋" w:hAnsi="仿宋" w:eastAsia="仿宋" w:cs="仿宋"/>
          <w:color w:val="000000"/>
          <w:sz w:val="28"/>
          <w:szCs w:val="28"/>
        </w:rPr>
        <w:t>★报价方式： 统一下浮率，</w:t>
      </w:r>
      <w:r>
        <w:rPr>
          <w:rFonts w:hint="eastAsia" w:ascii="仿宋" w:hAnsi="仿宋" w:eastAsia="仿宋" w:cs="仿宋"/>
          <w:color w:val="000000"/>
          <w:sz w:val="28"/>
          <w:szCs w:val="28"/>
          <w:highlight w:val="none"/>
        </w:rPr>
        <w:t>非每个产品单项下浮率</w:t>
      </w:r>
      <w:r>
        <w:rPr>
          <w:rFonts w:hint="eastAsia" w:ascii="仿宋" w:hAnsi="仿宋" w:eastAsia="仿宋" w:cs="仿宋"/>
          <w:color w:val="000000"/>
          <w:sz w:val="28"/>
          <w:szCs w:val="28"/>
        </w:rPr>
        <w:t>。（0%～100%）</w:t>
      </w:r>
    </w:p>
    <w:p>
      <w:pPr>
        <w:pStyle w:val="3"/>
        <w:pageBreakBefore w:val="0"/>
        <w:numPr>
          <w:ilvl w:val="0"/>
          <w:numId w:val="2"/>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采购方式</w:t>
      </w:r>
    </w:p>
    <w:p>
      <w:pPr>
        <w:pStyle w:val="13"/>
        <w:pageBreakBefore w:val="0"/>
        <w:kinsoku/>
        <w:wordWrap/>
        <w:overflowPunct/>
        <w:topLinePunct w:val="0"/>
        <w:autoSpaceDE/>
        <w:autoSpaceDN/>
        <w:bidi w:val="0"/>
        <w:snapToGrid/>
        <w:spacing w:line="360" w:lineRule="auto"/>
        <w:rPr>
          <w:rFonts w:hint="eastAsia" w:ascii="仿宋" w:hAnsi="仿宋" w:eastAsia="仿宋" w:cs="仿宋"/>
          <w:sz w:val="28"/>
          <w:szCs w:val="28"/>
        </w:rPr>
      </w:pPr>
      <w:r>
        <w:rPr>
          <w:rFonts w:hint="eastAsia" w:ascii="仿宋" w:hAnsi="仿宋" w:eastAsia="仿宋" w:cs="仿宋"/>
          <w:sz w:val="28"/>
          <w:szCs w:val="28"/>
        </w:rPr>
        <w:t>分批次采购，采购批次由采购人决定。采购人按科室需要提出采购计划，成交供应商收到计划后5个工作日内上门测量、报价，经采购人审核后生成采购订单。按采购订单生产、安装</w:t>
      </w:r>
    </w:p>
    <w:p>
      <w:pPr>
        <w:pStyle w:val="3"/>
        <w:pageBreakBefore w:val="0"/>
        <w:numPr>
          <w:ilvl w:val="0"/>
          <w:numId w:val="2"/>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结算要求及付款方式</w:t>
      </w:r>
    </w:p>
    <w:p>
      <w:pPr>
        <w:pStyle w:val="13"/>
        <w:pageBreakBefore w:val="0"/>
        <w:numPr>
          <w:ilvl w:val="0"/>
          <w:numId w:val="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 xml:space="preserve">货物安装完成，并验收合格后支付，由供应商开具发票和提供送货清单，采购人收到发票和送货清单后10个工作日内办理支付手续。 </w:t>
      </w:r>
    </w:p>
    <w:p>
      <w:pPr>
        <w:pStyle w:val="13"/>
        <w:pageBreakBefore w:val="0"/>
        <w:numPr>
          <w:ilvl w:val="0"/>
          <w:numId w:val="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结算金额。需求清单内的产品按实际下单的产品、数量乘以中标单价计算，结算公式：</w:t>
      </w:r>
      <w:r>
        <w:rPr>
          <w:rFonts w:hint="eastAsia" w:ascii="仿宋" w:hAnsi="仿宋" w:eastAsia="仿宋" w:cs="仿宋"/>
          <w:sz w:val="28"/>
          <w:szCs w:val="28"/>
          <w:lang w:eastAsia="zh-CN"/>
        </w:rPr>
        <w:t>结算金额=产品单项限价×（1-报价下浮率）×实际送货数量。</w:t>
      </w:r>
      <w:r>
        <w:rPr>
          <w:rFonts w:hint="eastAsia" w:ascii="仿宋" w:hAnsi="仿宋" w:eastAsia="仿宋" w:cs="仿宋"/>
          <w:sz w:val="28"/>
          <w:szCs w:val="28"/>
        </w:rPr>
        <w:t>需求清单外的产品，结算金额=经审核的产品单价×实际送货数量。</w:t>
      </w:r>
    </w:p>
    <w:p>
      <w:pPr>
        <w:pStyle w:val="13"/>
        <w:keepNext w:val="0"/>
        <w:keepLines w:val="0"/>
        <w:pageBreakBefore w:val="0"/>
        <w:widowControl w:val="0"/>
        <w:numPr>
          <w:ilvl w:val="0"/>
          <w:numId w:val="8"/>
        </w:numPr>
        <w:kinsoku/>
        <w:wordWrap/>
        <w:overflowPunct/>
        <w:topLinePunct w:val="0"/>
        <w:autoSpaceDE/>
        <w:autoSpaceDN/>
        <w:bidi w:val="0"/>
        <w:adjustRightInd w:val="0"/>
        <w:snapToGrid/>
        <w:spacing w:line="360" w:lineRule="auto"/>
        <w:ind w:left="0" w:leftChars="0" w:firstLine="480" w:firstLineChars="0"/>
        <w:textAlignment w:val="auto"/>
        <w:rPr>
          <w:rFonts w:hint="default" w:ascii="仿宋" w:hAnsi="仿宋" w:eastAsia="仿宋" w:cs="仿宋"/>
          <w:sz w:val="28"/>
          <w:szCs w:val="28"/>
          <w:lang w:val="en-US" w:eastAsia="zh-CN"/>
        </w:rPr>
        <w:sectPr>
          <w:headerReference r:id="rId5" w:type="default"/>
          <w:footerReference r:id="rId6" w:type="default"/>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
          <w:sz w:val="28"/>
          <w:szCs w:val="28"/>
        </w:rPr>
        <w:t>采购人在验收时或在使用过程中发现成交供应商所送产品不符合约定的质量标准的，</w:t>
      </w:r>
      <w:r>
        <w:rPr>
          <w:rFonts w:hint="eastAsia" w:ascii="仿宋" w:hAnsi="仿宋" w:eastAsia="仿宋" w:cs="仿宋"/>
          <w:sz w:val="28"/>
          <w:szCs w:val="28"/>
          <w:lang w:eastAsia="zh-CN"/>
        </w:rPr>
        <w:t>成交供应商需在3个工作日内完成更换，并承担由此产生的重新制作费用，以确保产品完全符合采购人的要求。</w:t>
      </w:r>
      <w:r>
        <w:rPr>
          <w:rFonts w:hint="eastAsia" w:ascii="仿宋" w:hAnsi="仿宋" w:eastAsia="仿宋" w:cs="仿宋"/>
          <w:sz w:val="28"/>
          <w:szCs w:val="28"/>
        </w:rPr>
        <w:t>如未及时更换，采购人有权拒绝支付当次货款。连续出现5次，采购人有权终止协议。</w:t>
      </w:r>
    </w:p>
    <w:p>
      <w:pPr>
        <w:pStyle w:val="3"/>
        <w:keepNext w:val="0"/>
        <w:keepLines w:val="0"/>
        <w:pageBreakBefore w:val="0"/>
        <w:widowControl w:val="0"/>
        <w:numPr>
          <w:ilvl w:val="0"/>
          <w:numId w:val="2"/>
        </w:numPr>
        <w:kinsoku/>
        <w:wordWrap/>
        <w:overflowPunct/>
        <w:topLinePunct w:val="0"/>
        <w:autoSpaceDE/>
        <w:autoSpaceDN/>
        <w:bidi w:val="0"/>
        <w:adjustRightInd w:val="0"/>
        <w:snapToGrid/>
        <w:spacing w:line="360" w:lineRule="auto"/>
        <w:ind w:left="0" w:leftChars="0" w:firstLine="0" w:firstLineChars="0"/>
        <w:textAlignment w:val="auto"/>
        <w:rPr>
          <w:rFonts w:hint="eastAsia" w:ascii="仿宋" w:hAnsi="仿宋" w:eastAsia="仿宋" w:cs="仿宋"/>
          <w:b w:val="0"/>
          <w:sz w:val="28"/>
          <w:szCs w:val="28"/>
        </w:rPr>
      </w:pPr>
      <w:r>
        <w:rPr>
          <w:rFonts w:hint="eastAsia" w:ascii="仿宋" w:hAnsi="仿宋" w:eastAsia="仿宋" w:cs="仿宋"/>
          <w:sz w:val="28"/>
          <w:szCs w:val="28"/>
        </w:rPr>
        <w:t>提供样品</w:t>
      </w:r>
    </w:p>
    <w:p>
      <w:pPr>
        <w:pStyle w:val="13"/>
        <w:pageBreakBefore w:val="0"/>
        <w:numPr>
          <w:ilvl w:val="0"/>
          <w:numId w:val="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rPr>
        <w:t>本项目各采购包要求提交投标样板。供应商应在提交调研资料截止时间前将投标样板提交采购人处。</w:t>
      </w:r>
    </w:p>
    <w:p>
      <w:pPr>
        <w:pStyle w:val="13"/>
        <w:pageBreakBefore w:val="0"/>
        <w:numPr>
          <w:ilvl w:val="0"/>
          <w:numId w:val="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rPr>
        <w:t>关于提交样板要求：</w:t>
      </w:r>
      <w:r>
        <w:rPr>
          <w:rFonts w:hint="eastAsia" w:ascii="仿宋" w:hAnsi="仿宋" w:eastAsia="仿宋" w:cs="仿宋"/>
          <w:b w:val="0"/>
          <w:sz w:val="28"/>
          <w:szCs w:val="28"/>
          <w:lang w:eastAsia="zh-CN"/>
        </w:rPr>
        <w:t>供应商在提交调研资料时，需严格按照调研文件中“6、样板要求”所列各采购包的配置要求提供样板（样板不得共用）。</w:t>
      </w:r>
      <w:r>
        <w:rPr>
          <w:rFonts w:hint="eastAsia" w:ascii="仿宋" w:hAnsi="仿宋" w:eastAsia="仿宋" w:cs="仿宋"/>
          <w:b w:val="0"/>
          <w:sz w:val="28"/>
          <w:szCs w:val="28"/>
        </w:rPr>
        <w:t>样板配置必须与调研资料列报的配置一致；</w:t>
      </w:r>
      <w:r>
        <w:rPr>
          <w:rFonts w:hint="eastAsia" w:ascii="仿宋" w:hAnsi="仿宋" w:eastAsia="仿宋" w:cs="仿宋"/>
          <w:b w:val="0"/>
          <w:sz w:val="28"/>
          <w:szCs w:val="28"/>
          <w:lang w:val="en-US" w:eastAsia="zh-CN"/>
        </w:rPr>
        <w:t>成交供应商</w:t>
      </w:r>
      <w:r>
        <w:rPr>
          <w:rFonts w:hint="eastAsia" w:ascii="仿宋" w:hAnsi="仿宋" w:eastAsia="仿宋" w:cs="仿宋"/>
          <w:b w:val="0"/>
          <w:sz w:val="28"/>
          <w:szCs w:val="28"/>
        </w:rPr>
        <w:t>的样板留样直至项目验收。</w:t>
      </w:r>
      <w:r>
        <w:rPr>
          <w:rFonts w:hint="eastAsia" w:ascii="仿宋" w:hAnsi="仿宋" w:eastAsia="仿宋" w:cs="仿宋"/>
          <w:b w:val="0"/>
          <w:sz w:val="28"/>
          <w:szCs w:val="28"/>
          <w:lang w:val="en-US" w:eastAsia="zh-CN"/>
        </w:rPr>
        <w:t>每个样板需贴上有供应商名称、产品名称和规格的标签。</w:t>
      </w:r>
    </w:p>
    <w:p>
      <w:pPr>
        <w:pStyle w:val="13"/>
        <w:pageBreakBefore w:val="0"/>
        <w:numPr>
          <w:ilvl w:val="0"/>
          <w:numId w:val="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rPr>
        <w:t>供应商的投标样板不能相互共用。</w:t>
      </w:r>
    </w:p>
    <w:p>
      <w:pPr>
        <w:pStyle w:val="13"/>
        <w:pageBreakBefore w:val="0"/>
        <w:numPr>
          <w:ilvl w:val="0"/>
          <w:numId w:val="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lang w:eastAsia="zh-CN"/>
        </w:rPr>
        <w:t>采购人在收取样板时，不对样板进行外观验收及性能测试，因此，对于样板的任何破损或质量问题，采购人不承担任何责任。</w:t>
      </w:r>
    </w:p>
    <w:p>
      <w:pPr>
        <w:pStyle w:val="13"/>
        <w:pageBreakBefore w:val="0"/>
        <w:numPr>
          <w:ilvl w:val="0"/>
          <w:numId w:val="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rPr>
        <w:t>由于采购人场地空间有限，敬请各有关供应商支持配合，在接到采购人通知后尽快取回投标样板，否则视同供应商不再认领，采购人有权进行处理。</w:t>
      </w:r>
    </w:p>
    <w:p>
      <w:pPr>
        <w:pStyle w:val="13"/>
        <w:pageBreakBefore w:val="0"/>
        <w:numPr>
          <w:ilvl w:val="0"/>
          <w:numId w:val="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rPr>
        <w:t>样板要求：</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1174"/>
        <w:gridCol w:w="1476"/>
        <w:gridCol w:w="748"/>
        <w:gridCol w:w="2495"/>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000" w:type="pct"/>
            <w:gridSpan w:val="6"/>
            <w:noWrap w:val="0"/>
            <w:vAlign w:val="center"/>
          </w:tcPr>
          <w:p>
            <w:pPr>
              <w:pStyle w:val="29"/>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样板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596" w:type="pct"/>
            <w:noWrap w:val="0"/>
            <w:vAlign w:val="center"/>
          </w:tcPr>
          <w:p>
            <w:pPr>
              <w:pStyle w:val="29"/>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包组号</w:t>
            </w:r>
          </w:p>
        </w:tc>
        <w:tc>
          <w:tcPr>
            <w:tcW w:w="755" w:type="pct"/>
            <w:noWrap w:val="0"/>
            <w:vAlign w:val="center"/>
          </w:tcPr>
          <w:p>
            <w:pPr>
              <w:pStyle w:val="29"/>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组成部分或配件样板名称</w:t>
            </w:r>
          </w:p>
        </w:tc>
        <w:tc>
          <w:tcPr>
            <w:tcW w:w="535" w:type="pct"/>
            <w:noWrap w:val="0"/>
            <w:vAlign w:val="center"/>
          </w:tcPr>
          <w:p>
            <w:pPr>
              <w:pStyle w:val="29"/>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规格（W*D*H）</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mm）</w:t>
            </w:r>
          </w:p>
        </w:tc>
        <w:tc>
          <w:tcPr>
            <w:tcW w:w="505" w:type="pct"/>
            <w:noWrap w:val="0"/>
            <w:vAlign w:val="center"/>
          </w:tcPr>
          <w:p>
            <w:pPr>
              <w:pStyle w:val="29"/>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数量</w:t>
            </w:r>
          </w:p>
        </w:tc>
        <w:tc>
          <w:tcPr>
            <w:tcW w:w="1530" w:type="pct"/>
            <w:noWrap w:val="0"/>
            <w:vAlign w:val="center"/>
          </w:tcPr>
          <w:p>
            <w:pPr>
              <w:pStyle w:val="29"/>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材质、技术参数及工艺要求</w:t>
            </w:r>
          </w:p>
        </w:tc>
        <w:tc>
          <w:tcPr>
            <w:tcW w:w="1076" w:type="pct"/>
            <w:noWrap w:val="0"/>
            <w:vAlign w:val="center"/>
          </w:tcPr>
          <w:p>
            <w:pPr>
              <w:pStyle w:val="29"/>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596" w:type="pct"/>
            <w:vMerge w:val="restart"/>
            <w:noWrap w:val="0"/>
            <w:vAlign w:val="center"/>
          </w:tcPr>
          <w:p>
            <w:pPr>
              <w:pStyle w:val="30"/>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采购包1</w:t>
            </w:r>
          </w:p>
        </w:tc>
        <w:tc>
          <w:tcPr>
            <w:tcW w:w="755"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kern w:val="2"/>
                <w:sz w:val="28"/>
                <w:szCs w:val="28"/>
                <w:lang w:val="en-US" w:eastAsia="zh-CN" w:bidi="ar-SA"/>
              </w:rPr>
              <w:t>浸渍胶膜纸饰面刨花板</w:t>
            </w:r>
          </w:p>
        </w:tc>
        <w:tc>
          <w:tcPr>
            <w:tcW w:w="535" w:type="pct"/>
            <w:noWrap w:val="0"/>
            <w:vAlign w:val="center"/>
          </w:tcPr>
          <w:p>
            <w:pPr>
              <w:pageBreakBefore w:val="0"/>
              <w:widowControl/>
              <w:kinsoku/>
              <w:wordWrap/>
              <w:overflowPunct/>
              <w:topLinePunct w:val="0"/>
              <w:autoSpaceDE/>
              <w:autoSpaceDN/>
              <w:bidi w:val="0"/>
              <w:snapToGrid/>
              <w:spacing w:line="360" w:lineRule="auto"/>
              <w:ind w:left="0" w:leftChars="0" w:firstLine="0" w:firstLineChars="0"/>
              <w:jc w:val="both"/>
              <w:textAlignment w:val="center"/>
              <w:rPr>
                <w:rFonts w:hint="eastAsia" w:ascii="仿宋" w:hAnsi="仿宋" w:eastAsia="仿宋" w:cs="仿宋"/>
                <w:b w:val="0"/>
                <w:bCs w:val="0"/>
                <w:sz w:val="28"/>
                <w:szCs w:val="28"/>
              </w:rPr>
            </w:pPr>
            <w:r>
              <w:rPr>
                <w:rFonts w:hint="eastAsia" w:ascii="仿宋" w:hAnsi="仿宋" w:eastAsia="仿宋" w:cs="仿宋"/>
                <w:b w:val="0"/>
                <w:bCs w:val="0"/>
                <w:sz w:val="28"/>
                <w:szCs w:val="28"/>
              </w:rPr>
              <w:t>200*200</w:t>
            </w:r>
          </w:p>
        </w:tc>
        <w:tc>
          <w:tcPr>
            <w:tcW w:w="505"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1组</w:t>
            </w:r>
          </w:p>
        </w:tc>
        <w:tc>
          <w:tcPr>
            <w:tcW w:w="1530"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按采购包1通用参数序号第2项</w:t>
            </w:r>
          </w:p>
        </w:tc>
        <w:tc>
          <w:tcPr>
            <w:tcW w:w="1076"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小样需留切口横截面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96" w:type="pct"/>
            <w:vMerge w:val="continue"/>
            <w:noWrap w:val="0"/>
            <w:vAlign w:val="center"/>
          </w:tcPr>
          <w:p>
            <w:pPr>
              <w:pStyle w:val="30"/>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p>
        </w:tc>
        <w:tc>
          <w:tcPr>
            <w:tcW w:w="755"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阻尼门铰</w:t>
            </w:r>
          </w:p>
        </w:tc>
        <w:tc>
          <w:tcPr>
            <w:tcW w:w="535" w:type="pct"/>
            <w:noWrap w:val="0"/>
            <w:vAlign w:val="center"/>
          </w:tcPr>
          <w:p>
            <w:pPr>
              <w:pageBreakBefore w:val="0"/>
              <w:widowControl/>
              <w:kinsoku/>
              <w:wordWrap/>
              <w:overflowPunct/>
              <w:topLinePunct w:val="0"/>
              <w:autoSpaceDE/>
              <w:autoSpaceDN/>
              <w:bidi w:val="0"/>
              <w:snapToGrid/>
              <w:spacing w:line="360" w:lineRule="auto"/>
              <w:ind w:left="0" w:leftChars="0" w:firstLine="0" w:firstLineChars="0"/>
              <w:jc w:val="center"/>
              <w:textAlignment w:val="center"/>
              <w:rPr>
                <w:rFonts w:hint="eastAsia" w:ascii="仿宋" w:hAnsi="仿宋" w:eastAsia="仿宋" w:cs="仿宋"/>
                <w:b w:val="0"/>
                <w:bCs w:val="0"/>
                <w:sz w:val="28"/>
                <w:szCs w:val="28"/>
              </w:rPr>
            </w:pPr>
            <w:r>
              <w:rPr>
                <w:rFonts w:hint="eastAsia" w:ascii="仿宋" w:hAnsi="仿宋" w:eastAsia="仿宋" w:cs="仿宋"/>
                <w:b w:val="0"/>
                <w:bCs w:val="0"/>
                <w:sz w:val="28"/>
                <w:szCs w:val="28"/>
              </w:rPr>
              <w:t>反冲门铰</w:t>
            </w:r>
          </w:p>
        </w:tc>
        <w:tc>
          <w:tcPr>
            <w:tcW w:w="505"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1组</w:t>
            </w:r>
          </w:p>
        </w:tc>
        <w:tc>
          <w:tcPr>
            <w:tcW w:w="1530"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按采购包1通用参数序号第9项</w:t>
            </w:r>
          </w:p>
        </w:tc>
        <w:tc>
          <w:tcPr>
            <w:tcW w:w="1076"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96" w:type="pct"/>
            <w:vMerge w:val="continue"/>
            <w:noWrap w:val="0"/>
            <w:vAlign w:val="center"/>
          </w:tcPr>
          <w:p>
            <w:pPr>
              <w:pStyle w:val="30"/>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p>
        </w:tc>
        <w:tc>
          <w:tcPr>
            <w:tcW w:w="755" w:type="pct"/>
            <w:noWrap w:val="0"/>
            <w:vAlign w:val="center"/>
          </w:tcPr>
          <w:p>
            <w:pPr>
              <w:pStyle w:val="29"/>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实木多层板</w:t>
            </w:r>
          </w:p>
        </w:tc>
        <w:tc>
          <w:tcPr>
            <w:tcW w:w="535" w:type="pct"/>
            <w:noWrap w:val="0"/>
            <w:vAlign w:val="center"/>
          </w:tcPr>
          <w:p>
            <w:pPr>
              <w:pageBreakBefore w:val="0"/>
              <w:widowControl/>
              <w:kinsoku/>
              <w:wordWrap/>
              <w:overflowPunct/>
              <w:topLinePunct w:val="0"/>
              <w:autoSpaceDE/>
              <w:autoSpaceDN/>
              <w:bidi w:val="0"/>
              <w:snapToGrid/>
              <w:spacing w:line="360" w:lineRule="auto"/>
              <w:ind w:left="0" w:leftChars="0" w:firstLine="0" w:firstLineChars="0"/>
              <w:jc w:val="center"/>
              <w:textAlignment w:val="center"/>
              <w:rPr>
                <w:rFonts w:hint="eastAsia" w:ascii="仿宋" w:hAnsi="仿宋" w:eastAsia="仿宋" w:cs="仿宋"/>
                <w:b w:val="0"/>
                <w:bCs w:val="0"/>
                <w:sz w:val="28"/>
                <w:szCs w:val="28"/>
              </w:rPr>
            </w:pPr>
            <w:r>
              <w:rPr>
                <w:rFonts w:hint="eastAsia" w:ascii="仿宋" w:hAnsi="仿宋" w:eastAsia="仿宋" w:cs="仿宋"/>
                <w:b w:val="0"/>
                <w:bCs w:val="0"/>
                <w:sz w:val="28"/>
                <w:szCs w:val="28"/>
              </w:rPr>
              <w:t>200*200</w:t>
            </w:r>
          </w:p>
        </w:tc>
        <w:tc>
          <w:tcPr>
            <w:tcW w:w="505" w:type="pct"/>
            <w:noWrap w:val="0"/>
            <w:vAlign w:val="center"/>
          </w:tcPr>
          <w:p>
            <w:pPr>
              <w:pStyle w:val="29"/>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1组</w:t>
            </w:r>
          </w:p>
        </w:tc>
        <w:tc>
          <w:tcPr>
            <w:tcW w:w="1530" w:type="pct"/>
            <w:noWrap w:val="0"/>
            <w:vAlign w:val="center"/>
          </w:tcPr>
          <w:p>
            <w:pPr>
              <w:pStyle w:val="29"/>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按采购包1通用参数序号第10项</w:t>
            </w:r>
          </w:p>
        </w:tc>
        <w:tc>
          <w:tcPr>
            <w:tcW w:w="1076" w:type="pct"/>
            <w:noWrap w:val="0"/>
            <w:vAlign w:val="center"/>
          </w:tcPr>
          <w:p>
            <w:pPr>
              <w:pStyle w:val="29"/>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小样需留切口横截面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96" w:type="pct"/>
            <w:vMerge w:val="continue"/>
            <w:noWrap w:val="0"/>
            <w:vAlign w:val="center"/>
          </w:tcPr>
          <w:p>
            <w:pPr>
              <w:pStyle w:val="30"/>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p>
        </w:tc>
        <w:tc>
          <w:tcPr>
            <w:tcW w:w="755"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锁具</w:t>
            </w:r>
          </w:p>
        </w:tc>
        <w:tc>
          <w:tcPr>
            <w:tcW w:w="535" w:type="pct"/>
            <w:noWrap w:val="0"/>
            <w:vAlign w:val="center"/>
          </w:tcPr>
          <w:p>
            <w:pPr>
              <w:pageBreakBefore w:val="0"/>
              <w:widowControl/>
              <w:kinsoku/>
              <w:wordWrap/>
              <w:overflowPunct/>
              <w:topLinePunct w:val="0"/>
              <w:autoSpaceDE/>
              <w:autoSpaceDN/>
              <w:bidi w:val="0"/>
              <w:snapToGrid/>
              <w:spacing w:line="360" w:lineRule="auto"/>
              <w:ind w:left="0" w:leftChars="0" w:firstLine="0" w:firstLineChars="0"/>
              <w:jc w:val="center"/>
              <w:textAlignment w:val="center"/>
              <w:rPr>
                <w:rFonts w:hint="eastAsia" w:ascii="仿宋" w:hAnsi="仿宋" w:eastAsia="仿宋" w:cs="仿宋"/>
                <w:b w:val="0"/>
                <w:bCs w:val="0"/>
                <w:sz w:val="28"/>
                <w:szCs w:val="28"/>
              </w:rPr>
            </w:pPr>
            <w:r>
              <w:rPr>
                <w:rFonts w:hint="eastAsia" w:ascii="仿宋" w:hAnsi="仿宋" w:eastAsia="仿宋" w:cs="仿宋"/>
                <w:b w:val="0"/>
                <w:bCs w:val="0"/>
                <w:sz w:val="28"/>
                <w:szCs w:val="28"/>
              </w:rPr>
              <w:t>常规</w:t>
            </w:r>
          </w:p>
        </w:tc>
        <w:tc>
          <w:tcPr>
            <w:tcW w:w="505"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1组</w:t>
            </w:r>
          </w:p>
        </w:tc>
        <w:tc>
          <w:tcPr>
            <w:tcW w:w="1530"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按采购包1通用参数序号第11项</w:t>
            </w:r>
          </w:p>
        </w:tc>
        <w:tc>
          <w:tcPr>
            <w:tcW w:w="1076"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96" w:type="pct"/>
            <w:vMerge w:val="continue"/>
            <w:noWrap w:val="0"/>
            <w:vAlign w:val="center"/>
          </w:tcPr>
          <w:p>
            <w:pPr>
              <w:pStyle w:val="30"/>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p>
        </w:tc>
        <w:tc>
          <w:tcPr>
            <w:tcW w:w="755"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三节路轨</w:t>
            </w:r>
          </w:p>
        </w:tc>
        <w:tc>
          <w:tcPr>
            <w:tcW w:w="535" w:type="pct"/>
            <w:noWrap w:val="0"/>
            <w:vAlign w:val="center"/>
          </w:tcPr>
          <w:p>
            <w:pPr>
              <w:pageBreakBefore w:val="0"/>
              <w:widowControl/>
              <w:kinsoku/>
              <w:wordWrap/>
              <w:overflowPunct/>
              <w:topLinePunct w:val="0"/>
              <w:autoSpaceDE/>
              <w:autoSpaceDN/>
              <w:bidi w:val="0"/>
              <w:snapToGrid/>
              <w:spacing w:line="360" w:lineRule="auto"/>
              <w:ind w:left="0" w:leftChars="0" w:firstLine="0" w:firstLineChars="0"/>
              <w:jc w:val="center"/>
              <w:textAlignment w:val="center"/>
              <w:rPr>
                <w:rFonts w:hint="eastAsia" w:ascii="仿宋" w:hAnsi="仿宋" w:eastAsia="仿宋" w:cs="仿宋"/>
                <w:b w:val="0"/>
                <w:bCs w:val="0"/>
                <w:sz w:val="28"/>
                <w:szCs w:val="28"/>
              </w:rPr>
            </w:pPr>
            <w:r>
              <w:rPr>
                <w:rFonts w:hint="eastAsia" w:ascii="仿宋" w:hAnsi="仿宋" w:eastAsia="仿宋" w:cs="仿宋"/>
                <w:b w:val="0"/>
                <w:bCs w:val="0"/>
                <w:sz w:val="28"/>
                <w:szCs w:val="28"/>
              </w:rPr>
              <w:t>16寸</w:t>
            </w:r>
          </w:p>
        </w:tc>
        <w:tc>
          <w:tcPr>
            <w:tcW w:w="505"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1组</w:t>
            </w:r>
          </w:p>
        </w:tc>
        <w:tc>
          <w:tcPr>
            <w:tcW w:w="1530"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按采购包1通用参数序号第12项</w:t>
            </w:r>
          </w:p>
        </w:tc>
        <w:tc>
          <w:tcPr>
            <w:tcW w:w="1076"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w:t>
            </w:r>
          </w:p>
        </w:tc>
      </w:tr>
    </w:tbl>
    <w:p>
      <w:pPr>
        <w:pStyle w:val="3"/>
        <w:pageBreakBefore w:val="0"/>
        <w:numPr>
          <w:ilvl w:val="0"/>
          <w:numId w:val="2"/>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验收要求</w:t>
      </w:r>
    </w:p>
    <w:p>
      <w:pPr>
        <w:pStyle w:val="4"/>
        <w:pageBreakBefore w:val="0"/>
        <w:numPr>
          <w:ilvl w:val="0"/>
          <w:numId w:val="10"/>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到货检验</w:t>
      </w:r>
    </w:p>
    <w:p>
      <w:pPr>
        <w:pStyle w:val="13"/>
        <w:pageBreakBefore w:val="0"/>
        <w:numPr>
          <w:ilvl w:val="0"/>
          <w:numId w:val="11"/>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rPr>
        <w:t>买卖双方将依据有关规定，对到货进行表面（型号、规格、数量、</w:t>
      </w:r>
      <w:r>
        <w:rPr>
          <w:rFonts w:hint="eastAsia" w:ascii="仿宋" w:hAnsi="仿宋" w:eastAsia="仿宋" w:cs="仿宋"/>
          <w:b w:val="0"/>
          <w:sz w:val="28"/>
          <w:szCs w:val="28"/>
          <w:lang w:eastAsia="zh-CN"/>
        </w:rPr>
        <w:t>外形</w:t>
      </w:r>
      <w:r>
        <w:rPr>
          <w:rFonts w:hint="eastAsia" w:ascii="仿宋" w:hAnsi="仿宋" w:eastAsia="仿宋" w:cs="仿宋"/>
          <w:b w:val="0"/>
          <w:sz w:val="28"/>
          <w:szCs w:val="28"/>
        </w:rPr>
        <w:t>、外观、包装及资料、文件等）检验。</w:t>
      </w:r>
    </w:p>
    <w:p>
      <w:pPr>
        <w:pStyle w:val="13"/>
        <w:pageBreakBefore w:val="0"/>
        <w:numPr>
          <w:ilvl w:val="0"/>
          <w:numId w:val="11"/>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lang w:eastAsia="zh-CN"/>
        </w:rPr>
        <w:t>货物运抵采购现场后，若发现缺陷或与合同不符，中标人需立即更换或修复，并承担相关费用。</w:t>
      </w:r>
    </w:p>
    <w:p>
      <w:pPr>
        <w:pStyle w:val="13"/>
        <w:pageBreakBefore w:val="0"/>
        <w:numPr>
          <w:ilvl w:val="0"/>
          <w:numId w:val="11"/>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rPr>
        <w:t>到货检验仅仅属于预防性检验，货物是否合格应以最后整体验收的结论为准。</w:t>
      </w:r>
    </w:p>
    <w:p>
      <w:pPr>
        <w:pStyle w:val="4"/>
        <w:pageBreakBefore w:val="0"/>
        <w:numPr>
          <w:ilvl w:val="0"/>
          <w:numId w:val="10"/>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整体验收</w:t>
      </w:r>
    </w:p>
    <w:p>
      <w:pPr>
        <w:pStyle w:val="13"/>
        <w:pageBreakBefore w:val="0"/>
        <w:numPr>
          <w:ilvl w:val="0"/>
          <w:numId w:val="1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rPr>
        <w:t>整体验收按国家有关的规定、规范进行。</w:t>
      </w:r>
    </w:p>
    <w:p>
      <w:pPr>
        <w:pStyle w:val="13"/>
        <w:pageBreakBefore w:val="0"/>
        <w:numPr>
          <w:ilvl w:val="0"/>
          <w:numId w:val="1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rPr>
        <w:t>中标人应在项目验收前将系统的全部有关产品说明书、原厂家安装及使用手册、技术文件、资料</w:t>
      </w:r>
      <w:r>
        <w:rPr>
          <w:rFonts w:hint="eastAsia" w:ascii="仿宋" w:hAnsi="仿宋" w:eastAsia="仿宋" w:cs="仿宋"/>
          <w:b w:val="0"/>
          <w:sz w:val="28"/>
          <w:szCs w:val="28"/>
          <w:lang w:eastAsia="zh-CN"/>
        </w:rPr>
        <w:t>以及</w:t>
      </w:r>
      <w:r>
        <w:rPr>
          <w:rFonts w:hint="eastAsia" w:ascii="仿宋" w:hAnsi="仿宋" w:eastAsia="仿宋" w:cs="仿宋"/>
          <w:b w:val="0"/>
          <w:sz w:val="28"/>
          <w:szCs w:val="28"/>
        </w:rPr>
        <w:t>安装、调试、验收报告等文档汇集成册交付采购人。</w:t>
      </w:r>
    </w:p>
    <w:p>
      <w:pPr>
        <w:pStyle w:val="13"/>
        <w:pageBreakBefore w:val="0"/>
        <w:numPr>
          <w:ilvl w:val="0"/>
          <w:numId w:val="1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lang w:eastAsia="zh-CN"/>
        </w:rPr>
        <w:t>采购人有权随机抽取交货产品进行送检，检测依据为“（三）采购货物技术标准及重要技术参数要求”，检测费用已计入投标总价。</w:t>
      </w:r>
      <w:r>
        <w:rPr>
          <w:rFonts w:hint="eastAsia" w:ascii="仿宋" w:hAnsi="仿宋" w:eastAsia="仿宋" w:cs="仿宋"/>
          <w:b w:val="0"/>
          <w:sz w:val="28"/>
          <w:szCs w:val="28"/>
        </w:rPr>
        <w:t>检测不合格的，无论是否已送货或安装，需整批退回，因退回产生的运输费、仓储费等一切费用由中标人承担。</w:t>
      </w:r>
    </w:p>
    <w:p>
      <w:pPr>
        <w:pStyle w:val="13"/>
        <w:pageBreakBefore w:val="0"/>
        <w:numPr>
          <w:ilvl w:val="0"/>
          <w:numId w:val="1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lang w:eastAsia="zh-CN"/>
        </w:rPr>
        <w:t>验收时发现产品短缺、损坏，中标人须在接到采购人通知后3小时内修复或更换，并承担费用。否则，采购人有权委托第三方修复或更换，费用由中标人承担。</w:t>
      </w:r>
    </w:p>
    <w:p>
      <w:pPr>
        <w:pStyle w:val="13"/>
        <w:pageBreakBefore w:val="0"/>
        <w:numPr>
          <w:ilvl w:val="0"/>
          <w:numId w:val="1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rPr>
        <w:t>家具调试完成后1个月内，由中标人提出验收申请，采购人应于中标人提出验收申请后15个工作日内组织验收。</w:t>
      </w:r>
    </w:p>
    <w:p>
      <w:pPr>
        <w:pStyle w:val="3"/>
        <w:pageBreakBefore w:val="0"/>
        <w:numPr>
          <w:ilvl w:val="0"/>
          <w:numId w:val="2"/>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质保期</w:t>
      </w:r>
    </w:p>
    <w:p>
      <w:pPr>
        <w:pStyle w:val="13"/>
        <w:pageBreakBefore w:val="0"/>
        <w:numPr>
          <w:ilvl w:val="0"/>
          <w:numId w:val="1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rPr>
        <w:t>质量保证期（简称“质保期”）不得低于三年，以中标人承诺为准。质保期自采购人在货物质量验收单上签字之日起计算，质保费用计入总价。</w:t>
      </w:r>
    </w:p>
    <w:p>
      <w:pPr>
        <w:pStyle w:val="13"/>
        <w:pageBreakBefore w:val="0"/>
        <w:numPr>
          <w:ilvl w:val="0"/>
          <w:numId w:val="1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lang w:eastAsia="zh-CN"/>
        </w:rPr>
        <w:t>质保期内，中标人负责免费保修、包换、包退及维护保养所提供的货物，但因采购人人为损坏或不可抗力因素（例如火灾、雷击）导致的故障除外。</w:t>
      </w:r>
    </w:p>
    <w:p>
      <w:pPr>
        <w:pStyle w:val="13"/>
        <w:pageBreakBefore w:val="0"/>
        <w:numPr>
          <w:ilvl w:val="0"/>
          <w:numId w:val="1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lang w:eastAsia="zh-CN"/>
        </w:rPr>
        <w:t>质保期内，中标人承诺在接到故障通知后24小时内派遣专业维修人员到场处理。若当天无法修复，将提供同规格替代产品，直至原设备修复完毕，期间因设备质量问题产生的所有费用由中标人承担。</w:t>
      </w:r>
      <w:r>
        <w:rPr>
          <w:rFonts w:hint="eastAsia" w:ascii="仿宋" w:hAnsi="仿宋" w:eastAsia="仿宋" w:cs="仿宋"/>
          <w:b w:val="0"/>
          <w:sz w:val="28"/>
          <w:szCs w:val="28"/>
        </w:rPr>
        <w:t>如不能按上述要求修复，则需在2日内提供相应的备件给采购人使用，以保证产品的正常运行，否则每次罚款 1000 元。故障零部件修复时间不得超过 5 日，否则每次罚款500 元。</w:t>
      </w:r>
    </w:p>
    <w:p>
      <w:pPr>
        <w:pStyle w:val="13"/>
        <w:pageBreakBefore w:val="0"/>
        <w:numPr>
          <w:ilvl w:val="0"/>
          <w:numId w:val="1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lang w:eastAsia="zh-CN"/>
        </w:rPr>
        <w:t>所有货物的质保服务均采用上门服务方式，中标人将派遣人员至使用现场进行维修，相关费用均由中标人全额承担。</w:t>
      </w:r>
    </w:p>
    <w:p>
      <w:pPr>
        <w:pStyle w:val="13"/>
        <w:pageBreakBefore w:val="0"/>
        <w:numPr>
          <w:ilvl w:val="0"/>
          <w:numId w:val="1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rPr>
        <w:t>质保期满后中标人对货物终身负责维修，长期以低于市场行情价的优惠价提供零配件（中标人需提供主要零配件报价单并经采购人确认方可执行）。</w:t>
      </w:r>
    </w:p>
    <w:p>
      <w:pPr>
        <w:pStyle w:val="13"/>
        <w:pageBreakBefore w:val="0"/>
        <w:numPr>
          <w:ilvl w:val="0"/>
          <w:numId w:val="1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rPr>
        <w:t>在质保期内，中标人需对所提供的设备做定期检查和保养。</w:t>
      </w:r>
    </w:p>
    <w:p>
      <w:pPr>
        <w:pStyle w:val="2"/>
        <w:pageBreakBefore w:val="0"/>
        <w:numPr>
          <w:ilvl w:val="0"/>
          <w:numId w:val="1"/>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采购货物技术标准及重要技术参数要求</w:t>
      </w:r>
    </w:p>
    <w:p>
      <w:pPr>
        <w:pStyle w:val="13"/>
        <w:pageBreakBefore w:val="0"/>
        <w:numPr>
          <w:ilvl w:val="0"/>
          <w:numId w:val="14"/>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rPr>
        <w:t>本次采购货物以下技术标准、重要参数要求为参考标准，没有限制性，供应商应根据自身产品实际情况提供更优化、更合理的方案，以满足使用需求，但性能应等于或高于以下标准。若有涵盖上述各项的最新国家及行业标准、规范，按最新标准、规范执行。</w:t>
      </w:r>
    </w:p>
    <w:p>
      <w:pPr>
        <w:pStyle w:val="13"/>
        <w:pageBreakBefore w:val="0"/>
        <w:numPr>
          <w:ilvl w:val="0"/>
          <w:numId w:val="14"/>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lang w:eastAsia="zh-CN"/>
        </w:rPr>
        <w:t>供应商在提交调研资料时，需一并提交货物原材料及成品由国家认可的检验检测机构所出具的检验报告，该报告的有效期自202</w:t>
      </w:r>
      <w:r>
        <w:rPr>
          <w:rFonts w:hint="eastAsia" w:ascii="仿宋" w:hAnsi="仿宋" w:eastAsia="仿宋" w:cs="仿宋"/>
          <w:b w:val="0"/>
          <w:sz w:val="28"/>
          <w:szCs w:val="28"/>
          <w:lang w:val="en-US" w:eastAsia="zh-CN"/>
        </w:rPr>
        <w:t>3</w:t>
      </w:r>
      <w:r>
        <w:rPr>
          <w:rFonts w:hint="eastAsia" w:ascii="仿宋" w:hAnsi="仿宋" w:eastAsia="仿宋" w:cs="仿宋"/>
          <w:b w:val="0"/>
          <w:sz w:val="28"/>
          <w:szCs w:val="28"/>
          <w:lang w:eastAsia="zh-CN"/>
        </w:rPr>
        <w:t>年1月1日起至提交调研资料截止日，且必须带有CMA或CNAS认证标志</w:t>
      </w:r>
      <w:r>
        <w:rPr>
          <w:rFonts w:hint="eastAsia" w:ascii="仿宋" w:hAnsi="仿宋" w:eastAsia="仿宋" w:cs="仿宋"/>
          <w:sz w:val="28"/>
          <w:szCs w:val="28"/>
        </w:rPr>
        <w:t>，具体参数如下：</w:t>
      </w:r>
    </w:p>
    <w:p>
      <w:pPr>
        <w:pageBreakBefore w:val="0"/>
        <w:kinsoku/>
        <w:wordWrap/>
        <w:overflowPunct/>
        <w:topLinePunct w:val="0"/>
        <w:autoSpaceDE/>
        <w:autoSpaceDN/>
        <w:bidi w:val="0"/>
        <w:snapToGrid/>
        <w:spacing w:line="360" w:lineRule="auto"/>
        <w:rPr>
          <w:rFonts w:hint="eastAsia" w:ascii="仿宋" w:hAnsi="仿宋" w:eastAsia="仿宋" w:cs="仿宋"/>
          <w:sz w:val="28"/>
          <w:szCs w:val="28"/>
        </w:rPr>
      </w:pPr>
    </w:p>
    <w:p>
      <w:pPr>
        <w:pStyle w:val="3"/>
        <w:pageBreakBefore w:val="0"/>
        <w:kinsoku/>
        <w:wordWrap/>
        <w:overflowPunct/>
        <w:topLinePunct w:val="0"/>
        <w:autoSpaceDE/>
        <w:autoSpaceDN/>
        <w:bidi w:val="0"/>
        <w:snapToGrid/>
        <w:spacing w:line="360" w:lineRule="auto"/>
        <w:rPr>
          <w:rFonts w:hint="eastAsia" w:ascii="仿宋" w:hAnsi="仿宋" w:eastAsia="仿宋" w:cs="仿宋"/>
          <w:sz w:val="28"/>
          <w:szCs w:val="28"/>
        </w:rPr>
      </w:pPr>
      <w:r>
        <w:rPr>
          <w:rFonts w:hint="eastAsia" w:ascii="仿宋" w:hAnsi="仿宋" w:eastAsia="仿宋" w:cs="仿宋"/>
          <w:sz w:val="28"/>
          <w:szCs w:val="28"/>
        </w:rPr>
        <w:t>采购包1（办公家具）：</w:t>
      </w:r>
    </w:p>
    <w:p>
      <w:pPr>
        <w:pStyle w:val="4"/>
        <w:pageBreakBefore w:val="0"/>
        <w:numPr>
          <w:ilvl w:val="0"/>
          <w:numId w:val="15"/>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通用参数（适用于具有对应组成部分或配件</w:t>
      </w:r>
      <w:r>
        <w:rPr>
          <w:rFonts w:hint="eastAsia" w:ascii="仿宋" w:hAnsi="仿宋" w:eastAsia="仿宋" w:cs="仿宋"/>
          <w:sz w:val="28"/>
          <w:szCs w:val="28"/>
          <w:lang w:eastAsia="zh-CN"/>
        </w:rPr>
        <w:t>的</w:t>
      </w:r>
      <w:r>
        <w:rPr>
          <w:rFonts w:hint="eastAsia" w:ascii="仿宋" w:hAnsi="仿宋" w:eastAsia="仿宋" w:cs="仿宋"/>
          <w:sz w:val="28"/>
          <w:szCs w:val="28"/>
        </w:rPr>
        <w:t>家具）</w:t>
      </w:r>
    </w:p>
    <w:p>
      <w:pPr>
        <w:pStyle w:val="5"/>
        <w:pageBreakBefore w:val="0"/>
        <w:numPr>
          <w:ilvl w:val="0"/>
          <w:numId w:val="16"/>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热熔胶</w:t>
      </w:r>
    </w:p>
    <w:p>
      <w:pPr>
        <w:pStyle w:val="13"/>
        <w:pageBreakBefore w:val="0"/>
        <w:numPr>
          <w:ilvl w:val="0"/>
          <w:numId w:val="17"/>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符合HJ 2541-2016《环境标志产品技术要求 胶黏剂》</w:t>
      </w:r>
    </w:p>
    <w:p>
      <w:pPr>
        <w:pStyle w:val="13"/>
        <w:pageBreakBefore w:val="0"/>
        <w:numPr>
          <w:ilvl w:val="0"/>
          <w:numId w:val="17"/>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苯不得检出；</w:t>
      </w:r>
    </w:p>
    <w:p>
      <w:pPr>
        <w:pStyle w:val="13"/>
        <w:pageBreakBefore w:val="0"/>
        <w:numPr>
          <w:ilvl w:val="0"/>
          <w:numId w:val="17"/>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甲苯+乙苯+二甲苯≤0.5g/kg；</w:t>
      </w:r>
    </w:p>
    <w:p>
      <w:pPr>
        <w:pStyle w:val="13"/>
        <w:pageBreakBefore w:val="0"/>
        <w:numPr>
          <w:ilvl w:val="0"/>
          <w:numId w:val="17"/>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卤代烃≤0.5g/kg；</w:t>
      </w:r>
    </w:p>
    <w:p>
      <w:pPr>
        <w:pStyle w:val="13"/>
        <w:pageBreakBefore w:val="0"/>
        <w:numPr>
          <w:ilvl w:val="0"/>
          <w:numId w:val="17"/>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总挥发性有机物≤100g/L；</w:t>
      </w:r>
    </w:p>
    <w:p>
      <w:pPr>
        <w:pStyle w:val="5"/>
        <w:pageBreakBefore w:val="0"/>
        <w:numPr>
          <w:ilvl w:val="0"/>
          <w:numId w:val="16"/>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浸渍胶膜纸饰面刨花板</w:t>
      </w:r>
    </w:p>
    <w:p>
      <w:pPr>
        <w:pStyle w:val="13"/>
        <w:pageBreakBefore w:val="0"/>
        <w:numPr>
          <w:ilvl w:val="0"/>
          <w:numId w:val="1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符合GB/T 15102-2017《浸渍胶膜纸饰面纤维板和刨花板》、GB 18580-2017 《室内装饰装修材料 人造板及其制品中甲醛释放限量》、GB/T 35601-2017《绿色产品评价人造板和木质地板》；</w:t>
      </w:r>
    </w:p>
    <w:p>
      <w:pPr>
        <w:pStyle w:val="13"/>
        <w:pageBreakBefore w:val="0"/>
        <w:numPr>
          <w:ilvl w:val="0"/>
          <w:numId w:val="1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静曲强度≥11.0MPa；</w:t>
      </w:r>
    </w:p>
    <w:p>
      <w:pPr>
        <w:pStyle w:val="13"/>
        <w:pageBreakBefore w:val="0"/>
        <w:numPr>
          <w:ilvl w:val="0"/>
          <w:numId w:val="1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弹性模量≥1600MPa；</w:t>
      </w:r>
    </w:p>
    <w:p>
      <w:pPr>
        <w:pStyle w:val="13"/>
        <w:pageBreakBefore w:val="0"/>
        <w:numPr>
          <w:ilvl w:val="0"/>
          <w:numId w:val="1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内胶合强度≥0.35MPa；</w:t>
      </w:r>
    </w:p>
    <w:p>
      <w:pPr>
        <w:pStyle w:val="13"/>
        <w:pageBreakBefore w:val="0"/>
        <w:numPr>
          <w:ilvl w:val="0"/>
          <w:numId w:val="1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2h吸水厚度膨胀率≤8.0%；</w:t>
      </w:r>
    </w:p>
    <w:p>
      <w:pPr>
        <w:pStyle w:val="13"/>
        <w:pageBreakBefore w:val="0"/>
        <w:numPr>
          <w:ilvl w:val="0"/>
          <w:numId w:val="1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密度0.6</w:t>
      </w:r>
      <w:r>
        <w:rPr>
          <w:rFonts w:hint="eastAsia" w:ascii="仿宋" w:hAnsi="仿宋" w:eastAsia="仿宋" w:cs="仿宋"/>
          <w:sz w:val="28"/>
          <w:szCs w:val="28"/>
          <w:lang w:eastAsia="zh-CN"/>
        </w:rPr>
        <w:t>～</w:t>
      </w:r>
      <w:r>
        <w:rPr>
          <w:rFonts w:hint="eastAsia" w:ascii="仿宋" w:hAnsi="仿宋" w:eastAsia="仿宋" w:cs="仿宋"/>
          <w:sz w:val="28"/>
          <w:szCs w:val="28"/>
        </w:rPr>
        <w:t>0.9g/cm³ ；</w:t>
      </w:r>
    </w:p>
    <w:p>
      <w:pPr>
        <w:pStyle w:val="13"/>
        <w:pageBreakBefore w:val="0"/>
        <w:numPr>
          <w:ilvl w:val="0"/>
          <w:numId w:val="1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表面胶合强度≥0.6MPa；</w:t>
      </w:r>
    </w:p>
    <w:p>
      <w:pPr>
        <w:pStyle w:val="13"/>
        <w:pageBreakBefore w:val="0"/>
        <w:numPr>
          <w:ilvl w:val="0"/>
          <w:numId w:val="1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握螺钉力：板面≥900N，板边≥600N；</w:t>
      </w:r>
    </w:p>
    <w:p>
      <w:pPr>
        <w:pStyle w:val="13"/>
        <w:pageBreakBefore w:val="0"/>
        <w:numPr>
          <w:ilvl w:val="0"/>
          <w:numId w:val="1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lang w:eastAsia="zh-CN"/>
        </w:rPr>
        <w:t>表面耐冷热循环测试合格；</w:t>
      </w:r>
    </w:p>
    <w:p>
      <w:pPr>
        <w:pStyle w:val="13"/>
        <w:pageBreakBefore w:val="0"/>
        <w:numPr>
          <w:ilvl w:val="0"/>
          <w:numId w:val="1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lang w:eastAsia="zh-CN"/>
        </w:rPr>
        <w:t>表面抗划痕测试合格；</w:t>
      </w:r>
    </w:p>
    <w:p>
      <w:pPr>
        <w:pStyle w:val="13"/>
        <w:pageBreakBefore w:val="0"/>
        <w:numPr>
          <w:ilvl w:val="0"/>
          <w:numId w:val="1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lang w:eastAsia="zh-CN"/>
        </w:rPr>
        <w:t>表面耐磨性：磨耗量≤40mg/100转；</w:t>
      </w:r>
    </w:p>
    <w:p>
      <w:pPr>
        <w:pStyle w:val="13"/>
        <w:pageBreakBefore w:val="0"/>
        <w:numPr>
          <w:ilvl w:val="0"/>
          <w:numId w:val="1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lang w:eastAsia="zh-CN"/>
        </w:rPr>
        <w:t>表面图案保持性：经100转磨损后，花纹保留率≥50%；</w:t>
      </w:r>
    </w:p>
    <w:p>
      <w:pPr>
        <w:pStyle w:val="13"/>
        <w:pageBreakBefore w:val="0"/>
        <w:numPr>
          <w:ilvl w:val="0"/>
          <w:numId w:val="1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表面耐香烟灼烧达到4级及以上（5级最好，1级最差）；</w:t>
      </w:r>
    </w:p>
    <w:p>
      <w:pPr>
        <w:pStyle w:val="13"/>
        <w:pageBreakBefore w:val="0"/>
        <w:numPr>
          <w:ilvl w:val="0"/>
          <w:numId w:val="1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表面耐干热达到4级及以上（5级最好，1级最差）；</w:t>
      </w:r>
    </w:p>
    <w:p>
      <w:pPr>
        <w:pStyle w:val="13"/>
        <w:pageBreakBefore w:val="0"/>
        <w:numPr>
          <w:ilvl w:val="0"/>
          <w:numId w:val="1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表面耐污染腐蚀：图案纹，达到5级及以上（5级最好，1级最差）；</w:t>
      </w:r>
    </w:p>
    <w:p>
      <w:pPr>
        <w:pStyle w:val="13"/>
        <w:pageBreakBefore w:val="0"/>
        <w:numPr>
          <w:ilvl w:val="0"/>
          <w:numId w:val="1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表面耐龟裂达到4级及以上（5级最好，1级最差）；</w:t>
      </w:r>
    </w:p>
    <w:p>
      <w:pPr>
        <w:pStyle w:val="13"/>
        <w:pageBreakBefore w:val="0"/>
        <w:numPr>
          <w:ilvl w:val="0"/>
          <w:numId w:val="1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表面耐水蒸气达到4级及以上（5级最好，1级最差）；</w:t>
      </w:r>
    </w:p>
    <w:p>
      <w:pPr>
        <w:pStyle w:val="13"/>
        <w:pageBreakBefore w:val="0"/>
        <w:numPr>
          <w:ilvl w:val="0"/>
          <w:numId w:val="1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lang w:eastAsia="zh-CN"/>
        </w:rPr>
        <w:t>根据我国环保新规定，甲醛释放量标准分为E1、E0、ENF三个等级，其中E1级标准的甲醛释放量≤0.124mg/m³，是人造板材产品甲醛释放量的国标，也是室内装修的入门等级。</w:t>
      </w:r>
    </w:p>
    <w:p>
      <w:pPr>
        <w:pStyle w:val="13"/>
        <w:pageBreakBefore w:val="0"/>
        <w:numPr>
          <w:ilvl w:val="0"/>
          <w:numId w:val="1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苯≤10μg/m³</w:t>
      </w:r>
    </w:p>
    <w:p>
      <w:pPr>
        <w:pStyle w:val="13"/>
        <w:pageBreakBefore w:val="0"/>
        <w:numPr>
          <w:ilvl w:val="0"/>
          <w:numId w:val="1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甲苯≤20μg/m³</w:t>
      </w:r>
    </w:p>
    <w:p>
      <w:pPr>
        <w:pStyle w:val="13"/>
        <w:pageBreakBefore w:val="0"/>
        <w:numPr>
          <w:ilvl w:val="0"/>
          <w:numId w:val="1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二甲苯≤20μg/m³</w:t>
      </w:r>
    </w:p>
    <w:p>
      <w:pPr>
        <w:pStyle w:val="13"/>
        <w:pageBreakBefore w:val="0"/>
        <w:numPr>
          <w:ilvl w:val="0"/>
          <w:numId w:val="1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TVOC≤100μg/m³</w:t>
      </w:r>
    </w:p>
    <w:p>
      <w:pPr>
        <w:pStyle w:val="5"/>
        <w:pageBreakBefore w:val="0"/>
        <w:numPr>
          <w:ilvl w:val="0"/>
          <w:numId w:val="16"/>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气压棒</w:t>
      </w:r>
    </w:p>
    <w:p>
      <w:pPr>
        <w:pStyle w:val="13"/>
        <w:pageBreakBefore w:val="0"/>
        <w:numPr>
          <w:ilvl w:val="0"/>
          <w:numId w:val="1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符合GB/T 29525-2013《座椅升降气弹簧 技术条件》；</w:t>
      </w:r>
    </w:p>
    <w:p>
      <w:pPr>
        <w:pStyle w:val="13"/>
        <w:pageBreakBefore w:val="0"/>
        <w:numPr>
          <w:ilvl w:val="0"/>
          <w:numId w:val="1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密封性能检测结果合格；</w:t>
      </w:r>
    </w:p>
    <w:p>
      <w:pPr>
        <w:pStyle w:val="13"/>
        <w:pageBreakBefore w:val="0"/>
        <w:numPr>
          <w:ilvl w:val="0"/>
          <w:numId w:val="1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耐高低温性能检测结果合格；</w:t>
      </w:r>
    </w:p>
    <w:p>
      <w:pPr>
        <w:pStyle w:val="13"/>
        <w:pageBreakBefore w:val="0"/>
        <w:numPr>
          <w:ilvl w:val="0"/>
          <w:numId w:val="1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循环寿命检测结果合格；</w:t>
      </w:r>
    </w:p>
    <w:p>
      <w:pPr>
        <w:pStyle w:val="5"/>
        <w:pageBreakBefore w:val="0"/>
        <w:numPr>
          <w:ilvl w:val="0"/>
          <w:numId w:val="16"/>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油漆</w:t>
      </w:r>
    </w:p>
    <w:p>
      <w:pPr>
        <w:pStyle w:val="13"/>
        <w:pageBreakBefore w:val="0"/>
        <w:numPr>
          <w:ilvl w:val="0"/>
          <w:numId w:val="20"/>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符合GB 18581-2020《木器涂料中有害物质限量》</w:t>
      </w:r>
    </w:p>
    <w:p>
      <w:pPr>
        <w:pStyle w:val="13"/>
        <w:pageBreakBefore w:val="0"/>
        <w:numPr>
          <w:ilvl w:val="0"/>
          <w:numId w:val="20"/>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VOC含量≤650g/L</w:t>
      </w:r>
    </w:p>
    <w:p>
      <w:pPr>
        <w:pStyle w:val="13"/>
        <w:pageBreakBefore w:val="0"/>
        <w:numPr>
          <w:ilvl w:val="0"/>
          <w:numId w:val="20"/>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总铅含量≤90mg/kg</w:t>
      </w:r>
    </w:p>
    <w:p>
      <w:pPr>
        <w:pStyle w:val="13"/>
        <w:pageBreakBefore w:val="0"/>
        <w:numPr>
          <w:ilvl w:val="0"/>
          <w:numId w:val="20"/>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可溶性重金属：镉≤75mg/kg、铬≤60mg/kg、汞≤75mg/kg</w:t>
      </w:r>
    </w:p>
    <w:p>
      <w:pPr>
        <w:pStyle w:val="13"/>
        <w:pageBreakBefore w:val="0"/>
        <w:numPr>
          <w:ilvl w:val="0"/>
          <w:numId w:val="20"/>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乙二醇醚及醚酯总和含量≤300mg/kg</w:t>
      </w:r>
    </w:p>
    <w:p>
      <w:pPr>
        <w:pStyle w:val="13"/>
        <w:pageBreakBefore w:val="0"/>
        <w:numPr>
          <w:ilvl w:val="0"/>
          <w:numId w:val="20"/>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苯含量≤0.1%</w:t>
      </w:r>
    </w:p>
    <w:p>
      <w:pPr>
        <w:pStyle w:val="13"/>
        <w:pageBreakBefore w:val="0"/>
        <w:numPr>
          <w:ilvl w:val="0"/>
          <w:numId w:val="20"/>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甲苯与二甲苯（含乙苯）总和含量≤20%</w:t>
      </w:r>
    </w:p>
    <w:p>
      <w:pPr>
        <w:pStyle w:val="13"/>
        <w:pageBreakBefore w:val="0"/>
        <w:numPr>
          <w:ilvl w:val="0"/>
          <w:numId w:val="20"/>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多环芳烃总和含量≤200mg/kg</w:t>
      </w:r>
    </w:p>
    <w:p>
      <w:pPr>
        <w:pStyle w:val="13"/>
        <w:pageBreakBefore w:val="0"/>
        <w:numPr>
          <w:ilvl w:val="0"/>
          <w:numId w:val="20"/>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游离二异氰酸酯总和含量≤0.2%</w:t>
      </w:r>
    </w:p>
    <w:p>
      <w:pPr>
        <w:pStyle w:val="13"/>
        <w:pageBreakBefore w:val="0"/>
        <w:numPr>
          <w:ilvl w:val="0"/>
          <w:numId w:val="20"/>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卤代烃总和含量≤0.1%</w:t>
      </w:r>
    </w:p>
    <w:p>
      <w:pPr>
        <w:pStyle w:val="5"/>
        <w:pageBreakBefore w:val="0"/>
        <w:numPr>
          <w:ilvl w:val="0"/>
          <w:numId w:val="16"/>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网布</w:t>
      </w:r>
    </w:p>
    <w:p>
      <w:pPr>
        <w:pStyle w:val="13"/>
        <w:pageBreakBefore w:val="0"/>
        <w:numPr>
          <w:ilvl w:val="0"/>
          <w:numId w:val="21"/>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符合 GB 18401-2010《国家纺织产品基本安全技术规范》；</w:t>
      </w:r>
    </w:p>
    <w:p>
      <w:pPr>
        <w:pStyle w:val="13"/>
        <w:pageBreakBefore w:val="0"/>
        <w:numPr>
          <w:ilvl w:val="0"/>
          <w:numId w:val="21"/>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甲醛含量C类≤300mg/kg；</w:t>
      </w:r>
    </w:p>
    <w:p>
      <w:pPr>
        <w:pStyle w:val="13"/>
        <w:pageBreakBefore w:val="0"/>
        <w:numPr>
          <w:ilvl w:val="0"/>
          <w:numId w:val="21"/>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可分解致癌芳香胺染料禁用（限量值≤20mg/kg）</w:t>
      </w:r>
    </w:p>
    <w:p>
      <w:pPr>
        <w:pStyle w:val="5"/>
        <w:pageBreakBefore w:val="0"/>
        <w:numPr>
          <w:ilvl w:val="0"/>
          <w:numId w:val="16"/>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海绵</w:t>
      </w:r>
    </w:p>
    <w:p>
      <w:pPr>
        <w:pStyle w:val="13"/>
        <w:pageBreakBefore w:val="0"/>
        <w:numPr>
          <w:ilvl w:val="0"/>
          <w:numId w:val="2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符合GB/T 10802-2023《通用软质聚醚型聚氨酯泡沫塑料》</w:t>
      </w:r>
    </w:p>
    <w:p>
      <w:pPr>
        <w:pStyle w:val="13"/>
        <w:pageBreakBefore w:val="0"/>
        <w:numPr>
          <w:ilvl w:val="0"/>
          <w:numId w:val="2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压陷性能：25%压陷硬度151±14,65%/25%压陷比≥1.8</w:t>
      </w:r>
    </w:p>
    <w:p>
      <w:pPr>
        <w:pStyle w:val="13"/>
        <w:pageBreakBefore w:val="0"/>
        <w:numPr>
          <w:ilvl w:val="0"/>
          <w:numId w:val="2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75%压缩永久变形≤8%；</w:t>
      </w:r>
    </w:p>
    <w:p>
      <w:pPr>
        <w:pStyle w:val="13"/>
        <w:pageBreakBefore w:val="0"/>
        <w:numPr>
          <w:ilvl w:val="0"/>
          <w:numId w:val="2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回弹率≥35%；</w:t>
      </w:r>
    </w:p>
    <w:p>
      <w:pPr>
        <w:pStyle w:val="13"/>
        <w:pageBreakBefore w:val="0"/>
        <w:numPr>
          <w:ilvl w:val="0"/>
          <w:numId w:val="2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拉伸强度≥100kPa；</w:t>
      </w:r>
    </w:p>
    <w:p>
      <w:pPr>
        <w:pStyle w:val="13"/>
        <w:pageBreakBefore w:val="0"/>
        <w:numPr>
          <w:ilvl w:val="0"/>
          <w:numId w:val="2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伸长率≥100%；</w:t>
      </w:r>
    </w:p>
    <w:p>
      <w:pPr>
        <w:pStyle w:val="13"/>
        <w:pageBreakBefore w:val="0"/>
        <w:numPr>
          <w:ilvl w:val="0"/>
          <w:numId w:val="2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撕裂强度≥1.8N/cm；</w:t>
      </w:r>
    </w:p>
    <w:p>
      <w:pPr>
        <w:pStyle w:val="13"/>
        <w:pageBreakBefore w:val="0"/>
        <w:numPr>
          <w:ilvl w:val="0"/>
          <w:numId w:val="2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干热老化后拉伸强度≥55kPa；</w:t>
      </w:r>
    </w:p>
    <w:p>
      <w:pPr>
        <w:pStyle w:val="13"/>
        <w:pageBreakBefore w:val="0"/>
        <w:numPr>
          <w:ilvl w:val="0"/>
          <w:numId w:val="2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干热老化后拉伸强度变化率±30%；</w:t>
      </w:r>
    </w:p>
    <w:p>
      <w:pPr>
        <w:pStyle w:val="13"/>
        <w:pageBreakBefore w:val="0"/>
        <w:numPr>
          <w:ilvl w:val="0"/>
          <w:numId w:val="2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湿热老化后拉伸强度≥55kPa；</w:t>
      </w:r>
    </w:p>
    <w:p>
      <w:pPr>
        <w:pStyle w:val="13"/>
        <w:pageBreakBefore w:val="0"/>
        <w:numPr>
          <w:ilvl w:val="0"/>
          <w:numId w:val="2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湿热老化后拉伸强度变化率±30%；</w:t>
      </w:r>
    </w:p>
    <w:p>
      <w:pPr>
        <w:pStyle w:val="5"/>
        <w:pageBreakBefore w:val="0"/>
        <w:numPr>
          <w:ilvl w:val="0"/>
          <w:numId w:val="16"/>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五星脚架</w:t>
      </w:r>
    </w:p>
    <w:p>
      <w:pPr>
        <w:pStyle w:val="13"/>
        <w:pageBreakBefore w:val="0"/>
        <w:numPr>
          <w:ilvl w:val="0"/>
          <w:numId w:val="2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符合GB 28481-2012《塑料家具中有害物质限量》；</w:t>
      </w:r>
    </w:p>
    <w:p>
      <w:pPr>
        <w:pStyle w:val="13"/>
        <w:pageBreakBefore w:val="0"/>
        <w:numPr>
          <w:ilvl w:val="0"/>
          <w:numId w:val="2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重金属：可溶性铅≤90mg/kg，可溶性镉≤75mg/kg，可溶性铬≤60mg/kg，可溶性汞≤60mg/kg；</w:t>
      </w:r>
    </w:p>
    <w:p>
      <w:pPr>
        <w:pStyle w:val="13"/>
        <w:pageBreakBefore w:val="0"/>
        <w:numPr>
          <w:ilvl w:val="0"/>
          <w:numId w:val="2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苯并[a]芘≤1.0mg/kg；</w:t>
      </w:r>
    </w:p>
    <w:p>
      <w:pPr>
        <w:pStyle w:val="13"/>
        <w:pageBreakBefore w:val="0"/>
        <w:numPr>
          <w:ilvl w:val="0"/>
          <w:numId w:val="2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16种多环芳烃（PAH）总量≤10mg/kg；</w:t>
      </w:r>
    </w:p>
    <w:p>
      <w:pPr>
        <w:pStyle w:val="13"/>
        <w:pageBreakBefore w:val="0"/>
        <w:numPr>
          <w:ilvl w:val="0"/>
          <w:numId w:val="2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邻苯二甲酸二丁酯（DBP）≤0.1%；</w:t>
      </w:r>
    </w:p>
    <w:p>
      <w:pPr>
        <w:pStyle w:val="13"/>
        <w:pageBreakBefore w:val="0"/>
        <w:numPr>
          <w:ilvl w:val="0"/>
          <w:numId w:val="2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邻苯二甲酸丁基苄酯（BBP）≤0.1%；</w:t>
      </w:r>
    </w:p>
    <w:p>
      <w:pPr>
        <w:pStyle w:val="13"/>
        <w:pageBreakBefore w:val="0"/>
        <w:numPr>
          <w:ilvl w:val="0"/>
          <w:numId w:val="2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邻苯二甲酸-2-乙基</w:t>
      </w:r>
      <w:r>
        <w:rPr>
          <w:rFonts w:hint="eastAsia" w:ascii="仿宋" w:hAnsi="仿宋" w:eastAsia="仿宋" w:cs="仿宋"/>
          <w:sz w:val="28"/>
          <w:szCs w:val="28"/>
          <w:lang w:eastAsia="zh-CN"/>
        </w:rPr>
        <w:t>己</w:t>
      </w:r>
      <w:r>
        <w:rPr>
          <w:rFonts w:hint="eastAsia" w:ascii="仿宋" w:hAnsi="仿宋" w:eastAsia="仿宋" w:cs="仿宋"/>
          <w:sz w:val="28"/>
          <w:szCs w:val="28"/>
        </w:rPr>
        <w:t>基酯（DEHP）≤0.1%；</w:t>
      </w:r>
    </w:p>
    <w:p>
      <w:pPr>
        <w:pStyle w:val="13"/>
        <w:pageBreakBefore w:val="0"/>
        <w:numPr>
          <w:ilvl w:val="0"/>
          <w:numId w:val="2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邻苯二甲酸二正辛酯（DNOP）≤0.1%；</w:t>
      </w:r>
    </w:p>
    <w:p>
      <w:pPr>
        <w:pStyle w:val="13"/>
        <w:pageBreakBefore w:val="0"/>
        <w:numPr>
          <w:ilvl w:val="0"/>
          <w:numId w:val="2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邻苯二甲酸二异壬酯（DINP）≤0.1%；</w:t>
      </w:r>
    </w:p>
    <w:p>
      <w:pPr>
        <w:pStyle w:val="13"/>
        <w:pageBreakBefore w:val="0"/>
        <w:numPr>
          <w:ilvl w:val="0"/>
          <w:numId w:val="2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邻苯二甲酸二异癸酯（DIDP）≤0.1%；</w:t>
      </w:r>
    </w:p>
    <w:p>
      <w:pPr>
        <w:pStyle w:val="5"/>
        <w:pageBreakBefore w:val="0"/>
        <w:numPr>
          <w:ilvl w:val="0"/>
          <w:numId w:val="16"/>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聚氨酯</w:t>
      </w:r>
    </w:p>
    <w:p>
      <w:pPr>
        <w:pStyle w:val="13"/>
        <w:pageBreakBefore w:val="0"/>
        <w:numPr>
          <w:ilvl w:val="0"/>
          <w:numId w:val="24"/>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符合GB 28481-2012《塑料家具中有害物质限量》；</w:t>
      </w:r>
    </w:p>
    <w:p>
      <w:pPr>
        <w:pStyle w:val="13"/>
        <w:pageBreakBefore w:val="0"/>
        <w:numPr>
          <w:ilvl w:val="0"/>
          <w:numId w:val="24"/>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lang w:eastAsia="zh-CN"/>
        </w:rPr>
        <w:t>根据GB6675标准，玩具中重金属的可溶性限量为：铅≤90mg/kg，镉≤75mg/kg，铬≤60mg/kg，汞≤60mg/kg。</w:t>
      </w:r>
    </w:p>
    <w:p>
      <w:pPr>
        <w:pStyle w:val="13"/>
        <w:pageBreakBefore w:val="0"/>
        <w:numPr>
          <w:ilvl w:val="0"/>
          <w:numId w:val="24"/>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苯并[a]芘≤1.0mg/kg；</w:t>
      </w:r>
    </w:p>
    <w:p>
      <w:pPr>
        <w:pStyle w:val="13"/>
        <w:pageBreakBefore w:val="0"/>
        <w:numPr>
          <w:ilvl w:val="0"/>
          <w:numId w:val="24"/>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16种多环芳烃（PAH）总量≤10mg/kg；</w:t>
      </w:r>
    </w:p>
    <w:p>
      <w:pPr>
        <w:pStyle w:val="13"/>
        <w:pageBreakBefore w:val="0"/>
        <w:numPr>
          <w:ilvl w:val="0"/>
          <w:numId w:val="24"/>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邻苯二甲酸二丁酯（DBP）≤0.1%；</w:t>
      </w:r>
    </w:p>
    <w:p>
      <w:pPr>
        <w:pStyle w:val="13"/>
        <w:pageBreakBefore w:val="0"/>
        <w:numPr>
          <w:ilvl w:val="0"/>
          <w:numId w:val="24"/>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邻苯二甲酸丁基苄酯（BBP）≤0.1%；</w:t>
      </w:r>
    </w:p>
    <w:p>
      <w:pPr>
        <w:pStyle w:val="13"/>
        <w:pageBreakBefore w:val="0"/>
        <w:numPr>
          <w:ilvl w:val="0"/>
          <w:numId w:val="24"/>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邻苯二甲酸-2-乙基</w:t>
      </w:r>
      <w:r>
        <w:rPr>
          <w:rFonts w:hint="eastAsia" w:ascii="仿宋" w:hAnsi="仿宋" w:eastAsia="仿宋" w:cs="仿宋"/>
          <w:sz w:val="28"/>
          <w:szCs w:val="28"/>
          <w:lang w:eastAsia="zh-CN"/>
        </w:rPr>
        <w:t>己</w:t>
      </w:r>
      <w:r>
        <w:rPr>
          <w:rFonts w:hint="eastAsia" w:ascii="仿宋" w:hAnsi="仿宋" w:eastAsia="仿宋" w:cs="仿宋"/>
          <w:sz w:val="28"/>
          <w:szCs w:val="28"/>
        </w:rPr>
        <w:t>基酯（DEHP）≤0.1%；</w:t>
      </w:r>
    </w:p>
    <w:p>
      <w:pPr>
        <w:pStyle w:val="13"/>
        <w:pageBreakBefore w:val="0"/>
        <w:numPr>
          <w:ilvl w:val="0"/>
          <w:numId w:val="24"/>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邻苯二甲酸二正辛酯（DNOP）≤0.1%；</w:t>
      </w:r>
    </w:p>
    <w:p>
      <w:pPr>
        <w:pStyle w:val="13"/>
        <w:pageBreakBefore w:val="0"/>
        <w:numPr>
          <w:ilvl w:val="0"/>
          <w:numId w:val="24"/>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邻苯二甲酸二异壬酯（DINP）≤0.1%；</w:t>
      </w:r>
    </w:p>
    <w:p>
      <w:pPr>
        <w:pStyle w:val="13"/>
        <w:pageBreakBefore w:val="0"/>
        <w:numPr>
          <w:ilvl w:val="0"/>
          <w:numId w:val="24"/>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邻苯二甲酸二异癸酯（DIDP）≤0.1%；</w:t>
      </w:r>
    </w:p>
    <w:p>
      <w:pPr>
        <w:pStyle w:val="5"/>
        <w:pageBreakBefore w:val="0"/>
        <w:numPr>
          <w:ilvl w:val="0"/>
          <w:numId w:val="16"/>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阻尼门铰</w:t>
      </w:r>
    </w:p>
    <w:p>
      <w:pPr>
        <w:pStyle w:val="13"/>
        <w:pageBreakBefore w:val="0"/>
        <w:numPr>
          <w:ilvl w:val="0"/>
          <w:numId w:val="25"/>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符合QB/T 2189-2013《家具五金 杯状暗铰链》，QB/T 3832-1999《轻工产品金属镀层腐蚀试验结果的评价》，QB/T 3826-1999《轻工产品金属镀层和化学处理层的耐腐蚀试验方法 中性盐雾试验（NSS）法》</w:t>
      </w:r>
    </w:p>
    <w:p>
      <w:pPr>
        <w:pStyle w:val="13"/>
        <w:pageBreakBefore w:val="0"/>
        <w:numPr>
          <w:ilvl w:val="0"/>
          <w:numId w:val="25"/>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操作力检测结果合格；</w:t>
      </w:r>
    </w:p>
    <w:p>
      <w:pPr>
        <w:pStyle w:val="13"/>
        <w:pageBreakBefore w:val="0"/>
        <w:numPr>
          <w:ilvl w:val="0"/>
          <w:numId w:val="25"/>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垂直静载荷（20kg）检测结果合格；</w:t>
      </w:r>
    </w:p>
    <w:p>
      <w:pPr>
        <w:pStyle w:val="13"/>
        <w:pageBreakBefore w:val="0"/>
        <w:numPr>
          <w:ilvl w:val="0"/>
          <w:numId w:val="25"/>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水平静载荷（40N）检测结果合格；</w:t>
      </w:r>
    </w:p>
    <w:p>
      <w:pPr>
        <w:pStyle w:val="13"/>
        <w:pageBreakBefore w:val="0"/>
        <w:numPr>
          <w:ilvl w:val="0"/>
          <w:numId w:val="25"/>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耐久性（80000次）检测结果合格；</w:t>
      </w:r>
    </w:p>
    <w:p>
      <w:pPr>
        <w:pStyle w:val="13"/>
        <w:pageBreakBefore w:val="0"/>
        <w:numPr>
          <w:ilvl w:val="0"/>
          <w:numId w:val="25"/>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下沉量不应大于3.0mm；</w:t>
      </w:r>
    </w:p>
    <w:p>
      <w:pPr>
        <w:pStyle w:val="13"/>
        <w:pageBreakBefore w:val="0"/>
        <w:numPr>
          <w:ilvl w:val="0"/>
          <w:numId w:val="25"/>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金属表面耐腐蚀：中性盐雾（连续喷雾300小时及以上）：镀层本身的耐腐蚀等级≥8级（10级最好，0级最差）；</w:t>
      </w:r>
    </w:p>
    <w:p>
      <w:pPr>
        <w:pStyle w:val="13"/>
        <w:pageBreakBefore w:val="0"/>
        <w:numPr>
          <w:ilvl w:val="0"/>
          <w:numId w:val="25"/>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金属表面耐腐蚀：中性盐雾（连续喷雾300小时及以上）：镀层对基础的保护等级≥8级（10级最好，0级最差）；</w:t>
      </w:r>
    </w:p>
    <w:p>
      <w:pPr>
        <w:pStyle w:val="5"/>
        <w:pageBreakBefore w:val="0"/>
        <w:numPr>
          <w:ilvl w:val="0"/>
          <w:numId w:val="16"/>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实木多层板</w:t>
      </w:r>
    </w:p>
    <w:p>
      <w:pPr>
        <w:pStyle w:val="13"/>
        <w:pageBreakBefore w:val="0"/>
        <w:numPr>
          <w:ilvl w:val="0"/>
          <w:numId w:val="2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符合GB/T 9846-2015 《普通胶合板》，GB 18580-2017《室内装饰装修材料 人造板及其制品中甲醛释放限量》，GB/T 35601-2017《绿色产品评价 人造板和木质地板》；GB 8624-2012《 建筑材料及制品燃烧性能分级》；</w:t>
      </w:r>
    </w:p>
    <w:p>
      <w:pPr>
        <w:pStyle w:val="13"/>
        <w:pageBreakBefore w:val="0"/>
        <w:numPr>
          <w:ilvl w:val="0"/>
          <w:numId w:val="2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胶合强度的合格数与试件数之比≥90%；</w:t>
      </w:r>
    </w:p>
    <w:p>
      <w:pPr>
        <w:pStyle w:val="13"/>
        <w:pageBreakBefore w:val="0"/>
        <w:numPr>
          <w:ilvl w:val="0"/>
          <w:numId w:val="2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含水率的合格数与试件数之比≥90%；</w:t>
      </w:r>
    </w:p>
    <w:p>
      <w:pPr>
        <w:pStyle w:val="13"/>
        <w:pageBreakBefore w:val="0"/>
        <w:numPr>
          <w:ilvl w:val="0"/>
          <w:numId w:val="2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浸渍剥离的合格数与试件数之比≥90%；</w:t>
      </w:r>
    </w:p>
    <w:p>
      <w:pPr>
        <w:pStyle w:val="13"/>
        <w:pageBreakBefore w:val="0"/>
        <w:numPr>
          <w:ilvl w:val="0"/>
          <w:numId w:val="2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静曲强度的合格数与试件数之比≥90%；</w:t>
      </w:r>
    </w:p>
    <w:p>
      <w:pPr>
        <w:pStyle w:val="13"/>
        <w:pageBreakBefore w:val="0"/>
        <w:numPr>
          <w:ilvl w:val="0"/>
          <w:numId w:val="2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甲醛释放量≤0.124mg/m³；</w:t>
      </w:r>
    </w:p>
    <w:p>
      <w:pPr>
        <w:pStyle w:val="13"/>
        <w:pageBreakBefore w:val="0"/>
        <w:numPr>
          <w:ilvl w:val="0"/>
          <w:numId w:val="2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苯≤10μg/m³；</w:t>
      </w:r>
    </w:p>
    <w:p>
      <w:pPr>
        <w:pStyle w:val="13"/>
        <w:pageBreakBefore w:val="0"/>
        <w:numPr>
          <w:ilvl w:val="0"/>
          <w:numId w:val="2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甲苯≤20μg/m³；</w:t>
      </w:r>
    </w:p>
    <w:p>
      <w:pPr>
        <w:pStyle w:val="13"/>
        <w:pageBreakBefore w:val="0"/>
        <w:numPr>
          <w:ilvl w:val="0"/>
          <w:numId w:val="2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二甲苯≤20μg/m³；</w:t>
      </w:r>
    </w:p>
    <w:p>
      <w:pPr>
        <w:pStyle w:val="13"/>
        <w:pageBreakBefore w:val="0"/>
        <w:numPr>
          <w:ilvl w:val="0"/>
          <w:numId w:val="2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TVOC≤100μg/m³</w:t>
      </w:r>
      <w:r>
        <w:rPr>
          <w:rFonts w:hint="eastAsia" w:ascii="仿宋" w:hAnsi="仿宋" w:eastAsia="仿宋" w:cs="仿宋"/>
          <w:sz w:val="28"/>
          <w:szCs w:val="28"/>
          <w:lang w:eastAsia="zh-CN"/>
        </w:rPr>
        <w:t>;</w:t>
      </w:r>
    </w:p>
    <w:p>
      <w:pPr>
        <w:pStyle w:val="13"/>
        <w:pageBreakBefore w:val="0"/>
        <w:numPr>
          <w:ilvl w:val="0"/>
          <w:numId w:val="2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lang w:eastAsia="zh-CN"/>
        </w:rPr>
        <w:t>根据GB8624-2012《建筑材料及制品燃烧性能分级》标准，该材料的燃烧性能达到B1级合格，即难燃材料。</w:t>
      </w:r>
    </w:p>
    <w:p>
      <w:pPr>
        <w:pStyle w:val="5"/>
        <w:pageBreakBefore w:val="0"/>
        <w:numPr>
          <w:ilvl w:val="0"/>
          <w:numId w:val="16"/>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锁具</w:t>
      </w:r>
    </w:p>
    <w:p>
      <w:pPr>
        <w:pStyle w:val="13"/>
        <w:pageBreakBefore w:val="0"/>
        <w:numPr>
          <w:ilvl w:val="0"/>
          <w:numId w:val="27"/>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符合QB/T 1621-2015 《家具锁》，QB/T3826-1999《轻工产品金属镀层和化学处理层的耐腐蚀试验方法 中性盐雾试验</w:t>
      </w:r>
      <w:r>
        <w:rPr>
          <w:rFonts w:hint="eastAsia" w:ascii="仿宋" w:hAnsi="仿宋" w:eastAsia="仿宋" w:cs="仿宋"/>
          <w:sz w:val="28"/>
          <w:szCs w:val="28"/>
          <w:lang w:eastAsia="zh-CN"/>
        </w:rPr>
        <w:t>（</w:t>
      </w:r>
      <w:r>
        <w:rPr>
          <w:rFonts w:hint="eastAsia" w:ascii="仿宋" w:hAnsi="仿宋" w:eastAsia="仿宋" w:cs="仿宋"/>
          <w:sz w:val="28"/>
          <w:szCs w:val="28"/>
        </w:rPr>
        <w:t>NSS</w:t>
      </w:r>
      <w:r>
        <w:rPr>
          <w:rFonts w:hint="eastAsia" w:ascii="仿宋" w:hAnsi="仿宋" w:eastAsia="仿宋" w:cs="仿宋"/>
          <w:sz w:val="28"/>
          <w:szCs w:val="28"/>
          <w:lang w:eastAsia="zh-CN"/>
        </w:rPr>
        <w:t>）</w:t>
      </w:r>
      <w:r>
        <w:rPr>
          <w:rFonts w:hint="eastAsia" w:ascii="仿宋" w:hAnsi="仿宋" w:eastAsia="仿宋" w:cs="仿宋"/>
          <w:sz w:val="28"/>
          <w:szCs w:val="28"/>
        </w:rPr>
        <w:t>法》、QB/T3832-1999《轻工产品金属镀层腐蚀试验结果的评价》；</w:t>
      </w:r>
    </w:p>
    <w:p>
      <w:pPr>
        <w:pStyle w:val="13"/>
        <w:pageBreakBefore w:val="0"/>
        <w:numPr>
          <w:ilvl w:val="0"/>
          <w:numId w:val="27"/>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锁芯</w:t>
      </w:r>
      <w:r>
        <w:rPr>
          <w:rFonts w:hint="eastAsia" w:ascii="仿宋" w:hAnsi="仿宋" w:eastAsia="仿宋" w:cs="仿宋"/>
          <w:sz w:val="28"/>
          <w:szCs w:val="28"/>
          <w:lang w:eastAsia="zh-CN"/>
        </w:rPr>
        <w:t>拨动</w:t>
      </w:r>
      <w:r>
        <w:rPr>
          <w:rFonts w:hint="eastAsia" w:ascii="仿宋" w:hAnsi="仿宋" w:eastAsia="仿宋" w:cs="仿宋"/>
          <w:sz w:val="28"/>
          <w:szCs w:val="28"/>
        </w:rPr>
        <w:t>件扭矩检测合格；</w:t>
      </w:r>
    </w:p>
    <w:p>
      <w:pPr>
        <w:pStyle w:val="13"/>
        <w:pageBreakBefore w:val="0"/>
        <w:numPr>
          <w:ilvl w:val="0"/>
          <w:numId w:val="27"/>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锁舌侧向静载荷检测合格；</w:t>
      </w:r>
    </w:p>
    <w:p>
      <w:pPr>
        <w:pStyle w:val="13"/>
        <w:pageBreakBefore w:val="0"/>
        <w:numPr>
          <w:ilvl w:val="0"/>
          <w:numId w:val="27"/>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使用寿命不应少于10000次检测合格；</w:t>
      </w:r>
    </w:p>
    <w:p>
      <w:pPr>
        <w:pStyle w:val="13"/>
        <w:pageBreakBefore w:val="0"/>
        <w:numPr>
          <w:ilvl w:val="0"/>
          <w:numId w:val="27"/>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钥匙插拔、旋转检测合格；</w:t>
      </w:r>
    </w:p>
    <w:p>
      <w:pPr>
        <w:pStyle w:val="13"/>
        <w:pageBreakBefore w:val="0"/>
        <w:numPr>
          <w:ilvl w:val="0"/>
          <w:numId w:val="27"/>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钥匙拔出静拉力不应大于9N；</w:t>
      </w:r>
    </w:p>
    <w:p>
      <w:pPr>
        <w:pStyle w:val="13"/>
        <w:pageBreakBefore w:val="0"/>
        <w:numPr>
          <w:ilvl w:val="0"/>
          <w:numId w:val="27"/>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钥匙开启扭矩不应大于0.65N·m；</w:t>
      </w:r>
    </w:p>
    <w:p>
      <w:pPr>
        <w:pStyle w:val="13"/>
        <w:pageBreakBefore w:val="0"/>
        <w:numPr>
          <w:ilvl w:val="0"/>
          <w:numId w:val="27"/>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lang w:eastAsia="zh-CN"/>
        </w:rPr>
        <w:t>金属表面耐腐蚀性能的评估通常通过中性盐雾试验进行，该试验模拟海洋或其他含盐环境中的腐蚀条件。在连续喷雾300小时以上后，根据ASTM B117标准，涂层本身的耐腐蚀等级应达到≥8级（10级为最佳，0级为最差）；同时，涂层对基体的保护等级也应达到≥8级，以确保金属材料在实际应用中的可靠性和安全性。</w:t>
      </w:r>
    </w:p>
    <w:p>
      <w:pPr>
        <w:pStyle w:val="5"/>
        <w:pageBreakBefore w:val="0"/>
        <w:numPr>
          <w:ilvl w:val="0"/>
          <w:numId w:val="16"/>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三节路轨</w:t>
      </w:r>
    </w:p>
    <w:p>
      <w:pPr>
        <w:pStyle w:val="13"/>
        <w:pageBreakBefore w:val="0"/>
        <w:numPr>
          <w:ilvl w:val="0"/>
          <w:numId w:val="2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符合QB/T 2454-2013 《家具五金 抽屉导轨》，QB/T3826-1999《轻工产品金属镀层和化学处理层的耐腐蚀试验方法 中性盐雾试验</w:t>
      </w:r>
      <w:r>
        <w:rPr>
          <w:rFonts w:hint="eastAsia" w:ascii="仿宋" w:hAnsi="仿宋" w:eastAsia="仿宋" w:cs="仿宋"/>
          <w:sz w:val="28"/>
          <w:szCs w:val="28"/>
          <w:lang w:eastAsia="zh-CN"/>
        </w:rPr>
        <w:t>（</w:t>
      </w:r>
      <w:r>
        <w:rPr>
          <w:rFonts w:hint="eastAsia" w:ascii="仿宋" w:hAnsi="仿宋" w:eastAsia="仿宋" w:cs="仿宋"/>
          <w:sz w:val="28"/>
          <w:szCs w:val="28"/>
        </w:rPr>
        <w:t>NSS</w:t>
      </w:r>
      <w:r>
        <w:rPr>
          <w:rFonts w:hint="eastAsia" w:ascii="仿宋" w:hAnsi="仿宋" w:eastAsia="仿宋" w:cs="仿宋"/>
          <w:sz w:val="28"/>
          <w:szCs w:val="28"/>
          <w:lang w:eastAsia="zh-CN"/>
        </w:rPr>
        <w:t>）</w:t>
      </w:r>
      <w:r>
        <w:rPr>
          <w:rFonts w:hint="eastAsia" w:ascii="仿宋" w:hAnsi="仿宋" w:eastAsia="仿宋" w:cs="仿宋"/>
          <w:sz w:val="28"/>
          <w:szCs w:val="28"/>
        </w:rPr>
        <w:t>法》、QB/T3832-1999《轻工产品金属镀层腐蚀试验结果的评价》；</w:t>
      </w:r>
    </w:p>
    <w:p>
      <w:pPr>
        <w:pStyle w:val="13"/>
        <w:pageBreakBefore w:val="0"/>
        <w:numPr>
          <w:ilvl w:val="0"/>
          <w:numId w:val="2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操作力：当承载能力M＜40kg时，推力或拉力≤50N检测合格；</w:t>
      </w:r>
    </w:p>
    <w:p>
      <w:pPr>
        <w:pStyle w:val="13"/>
        <w:pageBreakBefore w:val="0"/>
        <w:numPr>
          <w:ilvl w:val="0"/>
          <w:numId w:val="2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耐久性（80000次）检测合格；</w:t>
      </w:r>
    </w:p>
    <w:p>
      <w:pPr>
        <w:pStyle w:val="13"/>
        <w:pageBreakBefore w:val="0"/>
        <w:numPr>
          <w:ilvl w:val="0"/>
          <w:numId w:val="2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垂直向下静载荷（200N）检测合格；</w:t>
      </w:r>
    </w:p>
    <w:p>
      <w:pPr>
        <w:pStyle w:val="13"/>
        <w:pageBreakBefore w:val="0"/>
        <w:numPr>
          <w:ilvl w:val="0"/>
          <w:numId w:val="2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水平侧向静载荷（100N）检测合格；</w:t>
      </w:r>
    </w:p>
    <w:p>
      <w:pPr>
        <w:pStyle w:val="13"/>
        <w:pageBreakBefore w:val="0"/>
        <w:numPr>
          <w:ilvl w:val="0"/>
          <w:numId w:val="2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拉出安全性检测合格；</w:t>
      </w:r>
    </w:p>
    <w:p>
      <w:pPr>
        <w:pStyle w:val="13"/>
        <w:pageBreakBefore w:val="0"/>
        <w:numPr>
          <w:ilvl w:val="0"/>
          <w:numId w:val="2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lang w:eastAsia="zh-CN"/>
        </w:rPr>
        <w:t>经猛关或猛开测试，结果合格；</w:t>
      </w:r>
    </w:p>
    <w:p>
      <w:pPr>
        <w:pStyle w:val="13"/>
        <w:pageBreakBefore w:val="0"/>
        <w:numPr>
          <w:ilvl w:val="0"/>
          <w:numId w:val="2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lang w:eastAsia="zh-CN"/>
        </w:rPr>
        <w:t>抽屉导轨下沉量控制在拉出长度的4%以内，检测结果合格；</w:t>
      </w:r>
    </w:p>
    <w:p>
      <w:pPr>
        <w:pStyle w:val="13"/>
        <w:pageBreakBefore w:val="0"/>
        <w:numPr>
          <w:ilvl w:val="0"/>
          <w:numId w:val="2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lang w:eastAsia="zh-CN"/>
        </w:rPr>
        <w:t>金属表面耐腐蚀性能：经中性盐雾测试（连续喷雾时间超过300小时），涂层耐腐蚀等级不低于8级（最高为10级，最低为0级）；同时，涂层对基体的保护等级亦不低于8级。</w:t>
      </w:r>
    </w:p>
    <w:p>
      <w:pPr>
        <w:pStyle w:val="5"/>
        <w:pageBreakBefore w:val="0"/>
        <w:numPr>
          <w:ilvl w:val="0"/>
          <w:numId w:val="16"/>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不锈钢拉手</w:t>
      </w:r>
    </w:p>
    <w:p>
      <w:pPr>
        <w:pStyle w:val="13"/>
        <w:pageBreakBefore w:val="0"/>
        <w:numPr>
          <w:ilvl w:val="0"/>
          <w:numId w:val="2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符合GB/T 3325-2017 《金属家具通用技术条件》，QB/T3826-1999《轻工产品金属镀层和化学处理层的耐腐蚀试验方法 中性盐雾试验</w:t>
      </w:r>
      <w:r>
        <w:rPr>
          <w:rFonts w:hint="eastAsia" w:ascii="仿宋" w:hAnsi="仿宋" w:eastAsia="仿宋" w:cs="仿宋"/>
          <w:sz w:val="28"/>
          <w:szCs w:val="28"/>
          <w:lang w:eastAsia="zh-CN"/>
        </w:rPr>
        <w:t>（</w:t>
      </w:r>
      <w:r>
        <w:rPr>
          <w:rFonts w:hint="eastAsia" w:ascii="仿宋" w:hAnsi="仿宋" w:eastAsia="仿宋" w:cs="仿宋"/>
          <w:sz w:val="28"/>
          <w:szCs w:val="28"/>
        </w:rPr>
        <w:t>NSS</w:t>
      </w:r>
      <w:r>
        <w:rPr>
          <w:rFonts w:hint="eastAsia" w:ascii="仿宋" w:hAnsi="仿宋" w:eastAsia="仿宋" w:cs="仿宋"/>
          <w:sz w:val="28"/>
          <w:szCs w:val="28"/>
          <w:lang w:eastAsia="zh-CN"/>
        </w:rPr>
        <w:t>）</w:t>
      </w:r>
      <w:r>
        <w:rPr>
          <w:rFonts w:hint="eastAsia" w:ascii="仿宋" w:hAnsi="仿宋" w:eastAsia="仿宋" w:cs="仿宋"/>
          <w:sz w:val="28"/>
          <w:szCs w:val="28"/>
        </w:rPr>
        <w:t>法》、QB/T3832-1999《轻工产品金属镀层腐蚀试验结果的评价》；</w:t>
      </w:r>
    </w:p>
    <w:p>
      <w:pPr>
        <w:pStyle w:val="13"/>
        <w:pageBreakBefore w:val="0"/>
        <w:numPr>
          <w:ilvl w:val="0"/>
          <w:numId w:val="2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lang w:eastAsia="zh-CN"/>
        </w:rPr>
        <w:t>金属冲压件经检测，确认无脱层、裂缝现象，结果合格；</w:t>
      </w:r>
    </w:p>
    <w:p>
      <w:pPr>
        <w:pStyle w:val="13"/>
        <w:pageBreakBefore w:val="0"/>
        <w:numPr>
          <w:ilvl w:val="0"/>
          <w:numId w:val="2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金属表面耐腐蚀：中性盐雾（连续喷雾300小时以上），耐腐蚀等级≥8级（10级最好，0级最差）；</w:t>
      </w:r>
    </w:p>
    <w:p>
      <w:pPr>
        <w:pStyle w:val="5"/>
        <w:pageBreakBefore w:val="0"/>
        <w:numPr>
          <w:ilvl w:val="0"/>
          <w:numId w:val="16"/>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静音脚轮</w:t>
      </w:r>
    </w:p>
    <w:p>
      <w:pPr>
        <w:pStyle w:val="13"/>
        <w:pageBreakBefore w:val="0"/>
        <w:numPr>
          <w:ilvl w:val="0"/>
          <w:numId w:val="30"/>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符合QB/T 4765-2014 《家具用脚轮》，QB/T3826-1999《轻工产品金属镀层和化学处理层的耐腐蚀试验方法 中性盐雾试验</w:t>
      </w:r>
      <w:r>
        <w:rPr>
          <w:rFonts w:hint="eastAsia" w:ascii="仿宋" w:hAnsi="仿宋" w:eastAsia="仿宋" w:cs="仿宋"/>
          <w:sz w:val="28"/>
          <w:szCs w:val="28"/>
          <w:lang w:eastAsia="zh-CN"/>
        </w:rPr>
        <w:t>（</w:t>
      </w:r>
      <w:r>
        <w:rPr>
          <w:rFonts w:hint="eastAsia" w:ascii="仿宋" w:hAnsi="仿宋" w:eastAsia="仿宋" w:cs="仿宋"/>
          <w:sz w:val="28"/>
          <w:szCs w:val="28"/>
        </w:rPr>
        <w:t>NSS</w:t>
      </w:r>
      <w:r>
        <w:rPr>
          <w:rFonts w:hint="eastAsia" w:ascii="仿宋" w:hAnsi="仿宋" w:eastAsia="仿宋" w:cs="仿宋"/>
          <w:sz w:val="28"/>
          <w:szCs w:val="28"/>
          <w:lang w:eastAsia="zh-CN"/>
        </w:rPr>
        <w:t>）</w:t>
      </w:r>
      <w:r>
        <w:rPr>
          <w:rFonts w:hint="eastAsia" w:ascii="仿宋" w:hAnsi="仿宋" w:eastAsia="仿宋" w:cs="仿宋"/>
          <w:sz w:val="28"/>
          <w:szCs w:val="28"/>
        </w:rPr>
        <w:t>法》、QB/T3832-1999《轻工产品金属镀层腐蚀试验结果的评价》；</w:t>
      </w:r>
    </w:p>
    <w:p>
      <w:pPr>
        <w:pStyle w:val="13"/>
        <w:pageBreakBefore w:val="0"/>
        <w:numPr>
          <w:ilvl w:val="0"/>
          <w:numId w:val="30"/>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抗冲击性检测合格；</w:t>
      </w:r>
    </w:p>
    <w:p>
      <w:pPr>
        <w:pStyle w:val="13"/>
        <w:pageBreakBefore w:val="0"/>
        <w:numPr>
          <w:ilvl w:val="0"/>
          <w:numId w:val="30"/>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动载荷检测合格；</w:t>
      </w:r>
    </w:p>
    <w:p>
      <w:pPr>
        <w:pStyle w:val="13"/>
        <w:pageBreakBefore w:val="0"/>
        <w:numPr>
          <w:ilvl w:val="0"/>
          <w:numId w:val="30"/>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滚动阻力检测合格；</w:t>
      </w:r>
    </w:p>
    <w:p>
      <w:pPr>
        <w:pStyle w:val="13"/>
        <w:pageBreakBefore w:val="0"/>
        <w:numPr>
          <w:ilvl w:val="0"/>
          <w:numId w:val="30"/>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旋转阻力检测合格；</w:t>
      </w:r>
    </w:p>
    <w:p>
      <w:pPr>
        <w:pStyle w:val="13"/>
        <w:pageBreakBefore w:val="0"/>
        <w:numPr>
          <w:ilvl w:val="0"/>
          <w:numId w:val="30"/>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静载荷检测合格；</w:t>
      </w:r>
    </w:p>
    <w:p>
      <w:pPr>
        <w:pStyle w:val="13"/>
        <w:pageBreakBefore w:val="0"/>
        <w:numPr>
          <w:ilvl w:val="0"/>
          <w:numId w:val="30"/>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lang w:eastAsia="zh-CN"/>
        </w:rPr>
        <w:t>金属表面耐腐蚀性测试中，通过中性盐雾试验（连续喷雾300小时以上），可以评估涂层本身的耐腐蚀等级和对基体的保护等级。根据ISO 9223标准，耐腐蚀等级分为7级，从清洁环境到严重腐蚀环境。ASTM G1-03标准将腐蚀等级分为5级，从极少腐蚀环境到极度腐蚀环境。NACE SP0775标准将腐蚀等级分为4级，分别为无腐蚀、轻度腐蚀、中度腐蚀和严重腐蚀。在这些标准中，涂层的耐腐蚀等级≥8级（10级最好，0级最差）意味着涂层具有较高的耐腐蚀性能。</w:t>
      </w:r>
    </w:p>
    <w:p>
      <w:pPr>
        <w:pStyle w:val="5"/>
        <w:pageBreakBefore w:val="0"/>
        <w:numPr>
          <w:ilvl w:val="0"/>
          <w:numId w:val="16"/>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西皮：</w:t>
      </w:r>
    </w:p>
    <w:p>
      <w:pPr>
        <w:pStyle w:val="13"/>
        <w:pageBreakBefore w:val="0"/>
        <w:numPr>
          <w:ilvl w:val="0"/>
          <w:numId w:val="31"/>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符合GB/T 16799-2018《家具用皮革》</w:t>
      </w:r>
    </w:p>
    <w:p>
      <w:pPr>
        <w:pStyle w:val="13"/>
        <w:pageBreakBefore w:val="0"/>
        <w:numPr>
          <w:ilvl w:val="0"/>
          <w:numId w:val="31"/>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干擦（500次）≥4级；</w:t>
      </w:r>
    </w:p>
    <w:p>
      <w:pPr>
        <w:pStyle w:val="13"/>
        <w:pageBreakBefore w:val="0"/>
        <w:numPr>
          <w:ilvl w:val="0"/>
          <w:numId w:val="31"/>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湿擦（250次）≥4级；</w:t>
      </w:r>
    </w:p>
    <w:p>
      <w:pPr>
        <w:pStyle w:val="13"/>
        <w:pageBreakBefore w:val="0"/>
        <w:numPr>
          <w:ilvl w:val="0"/>
          <w:numId w:val="31"/>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碱性汗液（80次）≥4级；</w:t>
      </w:r>
    </w:p>
    <w:p>
      <w:pPr>
        <w:pStyle w:val="13"/>
        <w:pageBreakBefore w:val="0"/>
        <w:numPr>
          <w:ilvl w:val="0"/>
          <w:numId w:val="31"/>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游离甲醛≤75mg/kg；</w:t>
      </w:r>
    </w:p>
    <w:p>
      <w:pPr>
        <w:pStyle w:val="13"/>
        <w:pageBreakBefore w:val="0"/>
        <w:numPr>
          <w:ilvl w:val="0"/>
          <w:numId w:val="31"/>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全张革应厚薄基本均匀，无油腻感（油蜡革除外）检测结果合格；</w:t>
      </w:r>
    </w:p>
    <w:p>
      <w:pPr>
        <w:pStyle w:val="13"/>
        <w:pageBreakBefore w:val="0"/>
        <w:numPr>
          <w:ilvl w:val="0"/>
          <w:numId w:val="31"/>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革身应平整、柔软、丰满有弹性检测结果合格；</w:t>
      </w:r>
    </w:p>
    <w:p>
      <w:pPr>
        <w:pStyle w:val="13"/>
        <w:pageBreakBefore w:val="0"/>
        <w:numPr>
          <w:ilvl w:val="0"/>
          <w:numId w:val="31"/>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正面革应不裂面、无</w:t>
      </w:r>
      <w:r>
        <w:rPr>
          <w:rFonts w:hint="eastAsia" w:ascii="仿宋" w:hAnsi="仿宋" w:eastAsia="仿宋" w:cs="仿宋"/>
          <w:sz w:val="28"/>
          <w:szCs w:val="28"/>
          <w:lang w:eastAsia="zh-CN"/>
        </w:rPr>
        <w:t>褶皱</w:t>
      </w:r>
      <w:r>
        <w:rPr>
          <w:rFonts w:hint="eastAsia" w:ascii="仿宋" w:hAnsi="仿宋" w:eastAsia="仿宋" w:cs="仿宋"/>
          <w:sz w:val="28"/>
          <w:szCs w:val="28"/>
        </w:rPr>
        <w:t>，主要部位不得松面。涂饰革涂饰均匀，不掉浆，不裂浆。绒面革绒毛均匀，颜色基本一致检测结果合格。</w:t>
      </w:r>
    </w:p>
    <w:p>
      <w:pPr>
        <w:pStyle w:val="5"/>
        <w:pageBreakBefore w:val="0"/>
        <w:numPr>
          <w:ilvl w:val="0"/>
          <w:numId w:val="16"/>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绒布</w:t>
      </w:r>
    </w:p>
    <w:p>
      <w:pPr>
        <w:pStyle w:val="13"/>
        <w:pageBreakBefore w:val="0"/>
        <w:numPr>
          <w:ilvl w:val="0"/>
          <w:numId w:val="3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符合 GB 18401-2010《国家纺织产品基本安全技术规范》；</w:t>
      </w:r>
    </w:p>
    <w:p>
      <w:pPr>
        <w:pStyle w:val="13"/>
        <w:pageBreakBefore w:val="0"/>
        <w:numPr>
          <w:ilvl w:val="0"/>
          <w:numId w:val="3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甲醛含量C类≤300mg/kg；</w:t>
      </w:r>
    </w:p>
    <w:p>
      <w:pPr>
        <w:pStyle w:val="13"/>
        <w:pageBreakBefore w:val="0"/>
        <w:numPr>
          <w:ilvl w:val="0"/>
          <w:numId w:val="3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可分解致癌芳香胺染料禁用（限量值≤20mg/kg）</w:t>
      </w:r>
    </w:p>
    <w:p>
      <w:pPr>
        <w:pStyle w:val="5"/>
        <w:pageBreakBefore w:val="0"/>
        <w:numPr>
          <w:ilvl w:val="0"/>
          <w:numId w:val="16"/>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抗菌粉末</w:t>
      </w:r>
    </w:p>
    <w:p>
      <w:pPr>
        <w:pStyle w:val="13"/>
        <w:pageBreakBefore w:val="0"/>
        <w:numPr>
          <w:ilvl w:val="0"/>
          <w:numId w:val="3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符合HG/T 2006-2006《热固性粉末涂料》；</w:t>
      </w:r>
    </w:p>
    <w:p>
      <w:pPr>
        <w:pStyle w:val="13"/>
        <w:pageBreakBefore w:val="0"/>
        <w:numPr>
          <w:ilvl w:val="0"/>
          <w:numId w:val="3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涂膜外观检测结果合格；</w:t>
      </w:r>
    </w:p>
    <w:p>
      <w:pPr>
        <w:pStyle w:val="13"/>
        <w:pageBreakBefore w:val="0"/>
        <w:numPr>
          <w:ilvl w:val="0"/>
          <w:numId w:val="3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硬度（擦伤）≥H；</w:t>
      </w:r>
    </w:p>
    <w:p>
      <w:pPr>
        <w:pStyle w:val="13"/>
        <w:pageBreakBefore w:val="0"/>
        <w:numPr>
          <w:ilvl w:val="0"/>
          <w:numId w:val="3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附着力（划格间距2mm）≤1级；</w:t>
      </w:r>
    </w:p>
    <w:p>
      <w:pPr>
        <w:pStyle w:val="13"/>
        <w:pageBreakBefore w:val="0"/>
        <w:numPr>
          <w:ilvl w:val="0"/>
          <w:numId w:val="3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耐冲击性≥50cm；</w:t>
      </w:r>
    </w:p>
    <w:p>
      <w:pPr>
        <w:pStyle w:val="13"/>
        <w:pageBreakBefore w:val="0"/>
        <w:numPr>
          <w:ilvl w:val="0"/>
          <w:numId w:val="3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弯曲试验2mm；</w:t>
      </w:r>
    </w:p>
    <w:p>
      <w:pPr>
        <w:pStyle w:val="13"/>
        <w:pageBreakBefore w:val="0"/>
        <w:numPr>
          <w:ilvl w:val="0"/>
          <w:numId w:val="3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杯突≥6mm；</w:t>
      </w:r>
    </w:p>
    <w:p>
      <w:pPr>
        <w:pStyle w:val="13"/>
        <w:pageBreakBefore w:val="0"/>
        <w:numPr>
          <w:ilvl w:val="0"/>
          <w:numId w:val="3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光泽（60°）≤60；</w:t>
      </w:r>
    </w:p>
    <w:p>
      <w:pPr>
        <w:pStyle w:val="13"/>
        <w:pageBreakBefore w:val="0"/>
        <w:numPr>
          <w:ilvl w:val="0"/>
          <w:numId w:val="3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耐碱性（5%NaOH）检测结果合格；</w:t>
      </w:r>
    </w:p>
    <w:p>
      <w:pPr>
        <w:pStyle w:val="13"/>
        <w:pageBreakBefore w:val="0"/>
        <w:numPr>
          <w:ilvl w:val="0"/>
          <w:numId w:val="3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耐酸性（3%HCl）检测结果合格；</w:t>
      </w:r>
    </w:p>
    <w:p>
      <w:pPr>
        <w:pStyle w:val="13"/>
        <w:pageBreakBefore w:val="0"/>
        <w:numPr>
          <w:ilvl w:val="0"/>
          <w:numId w:val="3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耐沸水性检测结果合格；</w:t>
      </w:r>
    </w:p>
    <w:p>
      <w:pPr>
        <w:pStyle w:val="13"/>
        <w:pageBreakBefore w:val="0"/>
        <w:numPr>
          <w:ilvl w:val="0"/>
          <w:numId w:val="3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耐湿热性检测结果合格；</w:t>
      </w:r>
    </w:p>
    <w:p>
      <w:pPr>
        <w:pStyle w:val="13"/>
        <w:pageBreakBefore w:val="0"/>
        <w:numPr>
          <w:ilvl w:val="0"/>
          <w:numId w:val="3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耐盐雾性检测结果合格；</w:t>
      </w:r>
    </w:p>
    <w:p>
      <w:pPr>
        <w:pStyle w:val="13"/>
        <w:pageBreakBefore w:val="0"/>
        <w:numPr>
          <w:ilvl w:val="0"/>
          <w:numId w:val="3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重金属</w:t>
      </w:r>
      <w:r>
        <w:rPr>
          <w:rFonts w:hint="eastAsia" w:ascii="仿宋" w:hAnsi="仿宋" w:eastAsia="仿宋" w:cs="仿宋"/>
          <w:sz w:val="28"/>
          <w:szCs w:val="28"/>
          <w:lang w:eastAsia="zh-CN"/>
        </w:rPr>
        <w:t>：</w:t>
      </w:r>
      <w:r>
        <w:rPr>
          <w:rFonts w:hint="eastAsia" w:ascii="仿宋" w:hAnsi="仿宋" w:eastAsia="仿宋" w:cs="仿宋"/>
          <w:sz w:val="28"/>
          <w:szCs w:val="28"/>
        </w:rPr>
        <w:t>可溶性铅≤90mg/kg，可溶性镉≤75mg/kg，可溶性铬≤60mg/kg，可溶性汞≤60mg/kg；</w:t>
      </w:r>
    </w:p>
    <w:p>
      <w:pPr>
        <w:pStyle w:val="5"/>
        <w:pageBreakBefore w:val="0"/>
        <w:numPr>
          <w:ilvl w:val="0"/>
          <w:numId w:val="16"/>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冷轧钢板</w:t>
      </w:r>
    </w:p>
    <w:p>
      <w:pPr>
        <w:pStyle w:val="13"/>
        <w:pageBreakBefore w:val="0"/>
        <w:numPr>
          <w:ilvl w:val="0"/>
          <w:numId w:val="34"/>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符合GB/T 3325-2017 《金属家具通用技术条件》，QB/T3826-1999《轻工产品金属镀层和化学处理层的耐腐蚀试验方法 中性盐雾试验</w:t>
      </w:r>
      <w:r>
        <w:rPr>
          <w:rFonts w:hint="eastAsia" w:ascii="仿宋" w:hAnsi="仿宋" w:eastAsia="仿宋" w:cs="仿宋"/>
          <w:sz w:val="28"/>
          <w:szCs w:val="28"/>
          <w:lang w:eastAsia="zh-CN"/>
        </w:rPr>
        <w:t>（</w:t>
      </w:r>
      <w:r>
        <w:rPr>
          <w:rFonts w:hint="eastAsia" w:ascii="仿宋" w:hAnsi="仿宋" w:eastAsia="仿宋" w:cs="仿宋"/>
          <w:sz w:val="28"/>
          <w:szCs w:val="28"/>
        </w:rPr>
        <w:t>NSS</w:t>
      </w:r>
      <w:r>
        <w:rPr>
          <w:rFonts w:hint="eastAsia" w:ascii="仿宋" w:hAnsi="仿宋" w:eastAsia="仿宋" w:cs="仿宋"/>
          <w:sz w:val="28"/>
          <w:szCs w:val="28"/>
          <w:lang w:eastAsia="zh-CN"/>
        </w:rPr>
        <w:t>）</w:t>
      </w:r>
      <w:r>
        <w:rPr>
          <w:rFonts w:hint="eastAsia" w:ascii="仿宋" w:hAnsi="仿宋" w:eastAsia="仿宋" w:cs="仿宋"/>
          <w:sz w:val="28"/>
          <w:szCs w:val="28"/>
        </w:rPr>
        <w:t>法》、QB/T3832-1999《轻工产品金属镀层腐蚀试验结果的评价》；</w:t>
      </w:r>
    </w:p>
    <w:p>
      <w:pPr>
        <w:pStyle w:val="13"/>
        <w:pageBreakBefore w:val="0"/>
        <w:numPr>
          <w:ilvl w:val="0"/>
          <w:numId w:val="34"/>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金属件喷涂层检测合格；</w:t>
      </w:r>
    </w:p>
    <w:p>
      <w:pPr>
        <w:pStyle w:val="13"/>
        <w:pageBreakBefore w:val="0"/>
        <w:numPr>
          <w:ilvl w:val="0"/>
          <w:numId w:val="34"/>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lang w:eastAsia="zh-CN"/>
        </w:rPr>
        <w:t>金属表面耐腐蚀性能的评估通常涉及中性盐雾试验，要求连续喷雾300小时以上。根据相关标准，涂层本身的耐腐蚀等级应达到≥8级（10级为最佳，0级为最差），同时涂层对基体的保护等级也应达到≥8级（10级为最佳，0级为最差）。</w:t>
      </w:r>
    </w:p>
    <w:p>
      <w:pPr>
        <w:pStyle w:val="13"/>
        <w:pageBreakBefore w:val="0"/>
        <w:kinsoku/>
        <w:wordWrap/>
        <w:overflowPunct/>
        <w:topLinePunct w:val="0"/>
        <w:autoSpaceDE/>
        <w:autoSpaceDN/>
        <w:bidi w:val="0"/>
        <w:snapToGrid/>
        <w:spacing w:line="360" w:lineRule="auto"/>
        <w:rPr>
          <w:rFonts w:hint="eastAsia" w:ascii="仿宋" w:hAnsi="仿宋" w:eastAsia="仿宋" w:cs="仿宋"/>
          <w:sz w:val="28"/>
          <w:szCs w:val="28"/>
        </w:rPr>
      </w:pPr>
      <w:r>
        <w:rPr>
          <w:rFonts w:hint="eastAsia" w:ascii="仿宋" w:hAnsi="仿宋" w:eastAsia="仿宋" w:cs="仿宋"/>
          <w:sz w:val="28"/>
          <w:szCs w:val="28"/>
        </w:rPr>
        <w:t>请提供2022年1月1日以来的国家认可的第三方检验机构出具的检测报告扫描件，具有CMA或CNAS认证标志，检验报告包括封面及所有检测内容，每一份检测报告的检测内容需全部满足Ⅰ</w:t>
      </w:r>
      <w:r>
        <w:rPr>
          <w:rFonts w:hint="eastAsia" w:ascii="仿宋" w:hAnsi="仿宋" w:eastAsia="仿宋" w:cs="仿宋"/>
          <w:sz w:val="28"/>
          <w:szCs w:val="28"/>
          <w:lang w:eastAsia="zh-CN"/>
        </w:rPr>
        <w:t>。</w:t>
      </w:r>
      <w:r>
        <w:rPr>
          <w:rFonts w:hint="eastAsia" w:ascii="仿宋" w:hAnsi="仿宋" w:eastAsia="仿宋" w:cs="仿宋"/>
          <w:sz w:val="28"/>
          <w:szCs w:val="28"/>
        </w:rPr>
        <w:t>通用参数（适用于具有对应组成部分或配件的各家具）列出的对应参数要求（检测项所在位置需在投标文件佐证资料中用红框标注），须同时提供检验报告在全国认证认可信息公共服务平台官网（http://cx.cnca.cn</w:t>
      </w:r>
      <w:r>
        <w:rPr>
          <w:rFonts w:hint="eastAsia" w:ascii="仿宋" w:hAnsi="仿宋" w:eastAsia="仿宋" w:cs="仿宋"/>
          <w:sz w:val="28"/>
          <w:szCs w:val="28"/>
          <w:lang w:eastAsia="zh-CN"/>
        </w:rPr>
        <w:t>）</w:t>
      </w:r>
      <w:r>
        <w:rPr>
          <w:rFonts w:hint="eastAsia" w:ascii="仿宋" w:hAnsi="仿宋" w:eastAsia="仿宋" w:cs="仿宋"/>
          <w:sz w:val="28"/>
          <w:szCs w:val="28"/>
        </w:rPr>
        <w:t>或者</w:t>
      </w:r>
      <w:r>
        <w:rPr>
          <w:rFonts w:hint="eastAsia" w:ascii="仿宋" w:hAnsi="仿宋" w:eastAsia="仿宋" w:cs="仿宋"/>
          <w:sz w:val="28"/>
          <w:szCs w:val="28"/>
          <w:lang w:eastAsia="zh-CN"/>
        </w:rPr>
        <w:t>国家认证认可监督管理委员会</w:t>
      </w:r>
      <w:r>
        <w:rPr>
          <w:rFonts w:hint="eastAsia" w:ascii="仿宋" w:hAnsi="仿宋" w:eastAsia="仿宋" w:cs="仿宋"/>
          <w:sz w:val="28"/>
          <w:szCs w:val="28"/>
        </w:rPr>
        <w:t>官网（http://www.cnca.gov.cn</w:t>
      </w:r>
      <w:r>
        <w:rPr>
          <w:rFonts w:hint="eastAsia" w:ascii="仿宋" w:hAnsi="仿宋" w:eastAsia="仿宋" w:cs="仿宋"/>
          <w:sz w:val="28"/>
          <w:szCs w:val="28"/>
          <w:lang w:eastAsia="zh-CN"/>
        </w:rPr>
        <w:t>）</w:t>
      </w:r>
      <w:r>
        <w:rPr>
          <w:rFonts w:hint="eastAsia" w:ascii="仿宋" w:hAnsi="仿宋" w:eastAsia="仿宋" w:cs="仿宋"/>
          <w:sz w:val="28"/>
          <w:szCs w:val="28"/>
        </w:rPr>
        <w:t>的查询结果截图。</w:t>
      </w:r>
    </w:p>
    <w:p>
      <w:pPr>
        <w:pStyle w:val="4"/>
        <w:pageBreakBefore w:val="0"/>
        <w:numPr>
          <w:ilvl w:val="0"/>
          <w:numId w:val="15"/>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专项参数（以下对应家具在满足通用参数基础上还需满足专项参数）</w:t>
      </w:r>
    </w:p>
    <w:p>
      <w:pPr>
        <w:pStyle w:val="5"/>
        <w:pageBreakBefore w:val="0"/>
        <w:numPr>
          <w:ilvl w:val="0"/>
          <w:numId w:val="35"/>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屏风卡位</w:t>
      </w:r>
    </w:p>
    <w:p>
      <w:pPr>
        <w:pStyle w:val="13"/>
        <w:pageBreakBefore w:val="0"/>
        <w:numPr>
          <w:ilvl w:val="0"/>
          <w:numId w:val="3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符合GB/T 3324-2017《木家具通用技术条件》、GB/T 35607-2017《绿色产品评价 家具》；</w:t>
      </w:r>
    </w:p>
    <w:p>
      <w:pPr>
        <w:pStyle w:val="13"/>
        <w:pageBreakBefore w:val="0"/>
        <w:numPr>
          <w:ilvl w:val="0"/>
          <w:numId w:val="3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平整度≤0.20mm；</w:t>
      </w:r>
    </w:p>
    <w:p>
      <w:pPr>
        <w:pStyle w:val="13"/>
        <w:pageBreakBefore w:val="0"/>
        <w:numPr>
          <w:ilvl w:val="0"/>
          <w:numId w:val="3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位度差≤2.0mm；</w:t>
      </w:r>
    </w:p>
    <w:p>
      <w:pPr>
        <w:pStyle w:val="13"/>
        <w:pageBreakBefore w:val="0"/>
        <w:numPr>
          <w:ilvl w:val="0"/>
          <w:numId w:val="3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分缝≤2.0mm；</w:t>
      </w:r>
    </w:p>
    <w:p>
      <w:pPr>
        <w:pStyle w:val="13"/>
        <w:pageBreakBefore w:val="0"/>
        <w:numPr>
          <w:ilvl w:val="0"/>
          <w:numId w:val="3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底脚平稳性≤2.0mm；</w:t>
      </w:r>
    </w:p>
    <w:p>
      <w:pPr>
        <w:pStyle w:val="13"/>
        <w:pageBreakBefore w:val="0"/>
        <w:numPr>
          <w:ilvl w:val="0"/>
          <w:numId w:val="3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人造板件外观检测结果合格；木工要求检测结果合格；</w:t>
      </w:r>
    </w:p>
    <w:p>
      <w:pPr>
        <w:pStyle w:val="13"/>
        <w:pageBreakBefore w:val="0"/>
        <w:numPr>
          <w:ilvl w:val="0"/>
          <w:numId w:val="3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耐冷热循环检测结果合格；</w:t>
      </w:r>
    </w:p>
    <w:p>
      <w:pPr>
        <w:pStyle w:val="13"/>
        <w:pageBreakBefore w:val="0"/>
        <w:numPr>
          <w:ilvl w:val="0"/>
          <w:numId w:val="3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耐干热不低于3级；</w:t>
      </w:r>
    </w:p>
    <w:p>
      <w:pPr>
        <w:pStyle w:val="13"/>
        <w:pageBreakBefore w:val="0"/>
        <w:numPr>
          <w:ilvl w:val="0"/>
          <w:numId w:val="3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耐湿热不低于3级；</w:t>
      </w:r>
    </w:p>
    <w:p>
      <w:pPr>
        <w:pStyle w:val="13"/>
        <w:pageBreakBefore w:val="0"/>
        <w:numPr>
          <w:ilvl w:val="0"/>
          <w:numId w:val="3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耐划痕检测结果合格；</w:t>
      </w:r>
    </w:p>
    <w:p>
      <w:pPr>
        <w:pStyle w:val="13"/>
        <w:pageBreakBefore w:val="0"/>
        <w:numPr>
          <w:ilvl w:val="0"/>
          <w:numId w:val="3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耐污染性能应不低于3级；</w:t>
      </w:r>
    </w:p>
    <w:p>
      <w:pPr>
        <w:pStyle w:val="13"/>
        <w:pageBreakBefore w:val="0"/>
        <w:numPr>
          <w:ilvl w:val="0"/>
          <w:numId w:val="3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表面耐磨性检测结果合格；</w:t>
      </w:r>
    </w:p>
    <w:p>
      <w:pPr>
        <w:pStyle w:val="13"/>
        <w:pageBreakBefore w:val="0"/>
        <w:numPr>
          <w:ilvl w:val="0"/>
          <w:numId w:val="3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抗冲击：不低于3级；</w:t>
      </w:r>
    </w:p>
    <w:p>
      <w:pPr>
        <w:pStyle w:val="13"/>
        <w:pageBreakBefore w:val="0"/>
        <w:numPr>
          <w:ilvl w:val="0"/>
          <w:numId w:val="3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耐光色牢度（灰色样卡）≥4级；</w:t>
      </w:r>
    </w:p>
    <w:p>
      <w:pPr>
        <w:pStyle w:val="13"/>
        <w:pageBreakBefore w:val="0"/>
        <w:numPr>
          <w:ilvl w:val="0"/>
          <w:numId w:val="3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lang w:eastAsia="zh-CN"/>
        </w:rPr>
        <w:t>桌面</w:t>
      </w:r>
      <w:r>
        <w:rPr>
          <w:rFonts w:hint="eastAsia" w:ascii="仿宋" w:hAnsi="仿宋" w:eastAsia="仿宋" w:cs="仿宋"/>
          <w:sz w:val="28"/>
          <w:szCs w:val="28"/>
        </w:rPr>
        <w:t>强度和耐久性：主桌面垂直静载荷，桌面持续垂直静载荷，水平静载荷试验，桌面垂直冲击试验检测结果合格。</w:t>
      </w:r>
    </w:p>
    <w:p>
      <w:pPr>
        <w:pStyle w:val="13"/>
        <w:pageBreakBefore w:val="0"/>
        <w:numPr>
          <w:ilvl w:val="0"/>
          <w:numId w:val="3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lang w:eastAsia="zh-CN"/>
        </w:rPr>
        <w:t>桌类稳定性测试：垂直加载稳定性测试及垂直和水平加载稳定性测试均通过。</w:t>
      </w:r>
    </w:p>
    <w:p>
      <w:pPr>
        <w:pStyle w:val="13"/>
        <w:pageBreakBefore w:val="0"/>
        <w:numPr>
          <w:ilvl w:val="0"/>
          <w:numId w:val="3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产品寿命检测结果合格。</w:t>
      </w:r>
    </w:p>
    <w:p>
      <w:pPr>
        <w:pStyle w:val="13"/>
        <w:pageBreakBefore w:val="0"/>
        <w:numPr>
          <w:ilvl w:val="0"/>
          <w:numId w:val="3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甲醛释放量≤0.05mg/m³；</w:t>
      </w:r>
    </w:p>
    <w:p>
      <w:pPr>
        <w:pStyle w:val="13"/>
        <w:pageBreakBefore w:val="0"/>
        <w:numPr>
          <w:ilvl w:val="0"/>
          <w:numId w:val="3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苯≤0.05mg/m³；</w:t>
      </w:r>
    </w:p>
    <w:p>
      <w:pPr>
        <w:pStyle w:val="13"/>
        <w:pageBreakBefore w:val="0"/>
        <w:numPr>
          <w:ilvl w:val="0"/>
          <w:numId w:val="3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甲苯≤0.1mg/m³；</w:t>
      </w:r>
    </w:p>
    <w:p>
      <w:pPr>
        <w:pStyle w:val="13"/>
        <w:pageBreakBefore w:val="0"/>
        <w:numPr>
          <w:ilvl w:val="0"/>
          <w:numId w:val="3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二甲苯≤0.1mg/m³；</w:t>
      </w:r>
    </w:p>
    <w:p>
      <w:pPr>
        <w:pStyle w:val="13"/>
        <w:pageBreakBefore w:val="0"/>
        <w:numPr>
          <w:ilvl w:val="0"/>
          <w:numId w:val="3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TVOC≤0.3mg/m³</w:t>
      </w:r>
      <w:r>
        <w:rPr>
          <w:rFonts w:hint="eastAsia" w:ascii="仿宋" w:hAnsi="仿宋" w:eastAsia="仿宋" w:cs="仿宋"/>
          <w:sz w:val="28"/>
          <w:szCs w:val="28"/>
          <w:lang w:eastAsia="zh-CN"/>
        </w:rPr>
        <w:t>;</w:t>
      </w:r>
    </w:p>
    <w:p>
      <w:pPr>
        <w:pStyle w:val="5"/>
        <w:pageBreakBefore w:val="0"/>
        <w:numPr>
          <w:ilvl w:val="0"/>
          <w:numId w:val="35"/>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医用储物柜</w:t>
      </w:r>
    </w:p>
    <w:p>
      <w:pPr>
        <w:pStyle w:val="13"/>
        <w:pageBreakBefore w:val="0"/>
        <w:numPr>
          <w:ilvl w:val="0"/>
          <w:numId w:val="37"/>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符合GB/T 35607-2017《绿色产品评价家具》、QB/T 1951.1-2010《木家具 质量检验及质量评定》；</w:t>
      </w:r>
    </w:p>
    <w:p>
      <w:pPr>
        <w:pStyle w:val="13"/>
        <w:pageBreakBefore w:val="0"/>
        <w:numPr>
          <w:ilvl w:val="0"/>
          <w:numId w:val="37"/>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平整度≤0.2mm；</w:t>
      </w:r>
    </w:p>
    <w:p>
      <w:pPr>
        <w:pStyle w:val="13"/>
        <w:pageBreakBefore w:val="0"/>
        <w:numPr>
          <w:ilvl w:val="0"/>
          <w:numId w:val="37"/>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位度差≤2.0mm；</w:t>
      </w:r>
    </w:p>
    <w:p>
      <w:pPr>
        <w:pStyle w:val="13"/>
        <w:pageBreakBefore w:val="0"/>
        <w:numPr>
          <w:ilvl w:val="0"/>
          <w:numId w:val="37"/>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分缝≤2.0mm；</w:t>
      </w:r>
    </w:p>
    <w:p>
      <w:pPr>
        <w:pStyle w:val="13"/>
        <w:pageBreakBefore w:val="0"/>
        <w:numPr>
          <w:ilvl w:val="0"/>
          <w:numId w:val="37"/>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底脚平稳性≤2.0mm；</w:t>
      </w:r>
    </w:p>
    <w:p>
      <w:pPr>
        <w:pStyle w:val="13"/>
        <w:pageBreakBefore w:val="0"/>
        <w:numPr>
          <w:ilvl w:val="0"/>
          <w:numId w:val="37"/>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lang w:eastAsia="zh-CN"/>
        </w:rPr>
        <w:t>根据GB/T4893标准，本产品软、硬质覆面理化性能表现优异，通过了耐冷热循环、耐干热、耐划痕等各项检测，表面耐磨性在350转后无露底现象，同时耐香烟灼烧测试也合格，抗冲击性能不低于3级。</w:t>
      </w:r>
    </w:p>
    <w:p>
      <w:pPr>
        <w:pStyle w:val="13"/>
        <w:pageBreakBefore w:val="0"/>
        <w:numPr>
          <w:ilvl w:val="0"/>
          <w:numId w:val="37"/>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甲醛释放量≤1.5mg/L；</w:t>
      </w:r>
    </w:p>
    <w:p>
      <w:pPr>
        <w:pStyle w:val="13"/>
        <w:pageBreakBefore w:val="0"/>
        <w:numPr>
          <w:ilvl w:val="0"/>
          <w:numId w:val="37"/>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包装检测合格；</w:t>
      </w:r>
    </w:p>
    <w:p>
      <w:pPr>
        <w:pStyle w:val="13"/>
        <w:pageBreakBefore w:val="0"/>
        <w:numPr>
          <w:ilvl w:val="0"/>
          <w:numId w:val="37"/>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柜类强度和耐久性：顶板和底板静载荷试验检测合格；结构和底架强度试验检测合格；跌落试验检测合格；拉门垂直加载试验检测合格；拉门水平加载试验检测合格；拉门</w:t>
      </w:r>
      <w:r>
        <w:rPr>
          <w:rFonts w:hint="eastAsia" w:ascii="仿宋" w:hAnsi="仿宋" w:eastAsia="仿宋" w:cs="仿宋"/>
          <w:sz w:val="28"/>
          <w:szCs w:val="28"/>
          <w:lang w:eastAsia="zh-CN"/>
        </w:rPr>
        <w:t>开关</w:t>
      </w:r>
      <w:r>
        <w:rPr>
          <w:rFonts w:hint="eastAsia" w:ascii="仿宋" w:hAnsi="仿宋" w:eastAsia="仿宋" w:cs="仿宋"/>
          <w:sz w:val="28"/>
          <w:szCs w:val="28"/>
        </w:rPr>
        <w:t>试验检测合格；</w:t>
      </w:r>
    </w:p>
    <w:p>
      <w:pPr>
        <w:pStyle w:val="13"/>
        <w:pageBreakBefore w:val="0"/>
        <w:numPr>
          <w:ilvl w:val="0"/>
          <w:numId w:val="37"/>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苯≤0.05mg/m³；</w:t>
      </w:r>
    </w:p>
    <w:p>
      <w:pPr>
        <w:pStyle w:val="13"/>
        <w:pageBreakBefore w:val="0"/>
        <w:numPr>
          <w:ilvl w:val="0"/>
          <w:numId w:val="37"/>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甲苯≤0.1mg/m³ ；</w:t>
      </w:r>
    </w:p>
    <w:p>
      <w:pPr>
        <w:pStyle w:val="13"/>
        <w:pageBreakBefore w:val="0"/>
        <w:numPr>
          <w:ilvl w:val="0"/>
          <w:numId w:val="37"/>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二甲苯≤0.1mg/m³；</w:t>
      </w:r>
    </w:p>
    <w:p>
      <w:pPr>
        <w:pStyle w:val="13"/>
        <w:pageBreakBefore w:val="0"/>
        <w:numPr>
          <w:ilvl w:val="0"/>
          <w:numId w:val="37"/>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TVOC≤0.3mg/m³</w:t>
      </w:r>
    </w:p>
    <w:p>
      <w:pPr>
        <w:pStyle w:val="5"/>
        <w:pageBreakBefore w:val="0"/>
        <w:numPr>
          <w:ilvl w:val="0"/>
          <w:numId w:val="35"/>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候诊椅</w:t>
      </w:r>
    </w:p>
    <w:p>
      <w:pPr>
        <w:pStyle w:val="13"/>
        <w:pageBreakBefore w:val="0"/>
        <w:numPr>
          <w:ilvl w:val="0"/>
          <w:numId w:val="3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符合GB/T 3325-2017《金属家具通用技术条件》、GB/T 35607-2017《绿色产品评价 家具》</w:t>
      </w:r>
    </w:p>
    <w:p>
      <w:pPr>
        <w:pStyle w:val="13"/>
        <w:pageBreakBefore w:val="0"/>
        <w:numPr>
          <w:ilvl w:val="0"/>
          <w:numId w:val="3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 xml:space="preserve">着地平稳性：底脚与水平面的差值≤2.0mm  </w:t>
      </w:r>
    </w:p>
    <w:p>
      <w:pPr>
        <w:pStyle w:val="13"/>
        <w:pageBreakBefore w:val="0"/>
        <w:numPr>
          <w:ilvl w:val="0"/>
          <w:numId w:val="3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外观性能要求检测结果合格</w:t>
      </w:r>
    </w:p>
    <w:p>
      <w:pPr>
        <w:pStyle w:val="13"/>
        <w:pageBreakBefore w:val="0"/>
        <w:numPr>
          <w:ilvl w:val="0"/>
          <w:numId w:val="3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结构安全检测结果合格</w:t>
      </w:r>
    </w:p>
    <w:p>
      <w:pPr>
        <w:pStyle w:val="13"/>
        <w:pageBreakBefore w:val="0"/>
        <w:numPr>
          <w:ilvl w:val="0"/>
          <w:numId w:val="3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 xml:space="preserve">硬度≥H </w:t>
      </w:r>
    </w:p>
    <w:p>
      <w:pPr>
        <w:pStyle w:val="13"/>
        <w:pageBreakBefore w:val="0"/>
        <w:numPr>
          <w:ilvl w:val="0"/>
          <w:numId w:val="3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冲击强度检测结果合格</w:t>
      </w:r>
    </w:p>
    <w:p>
      <w:pPr>
        <w:pStyle w:val="13"/>
        <w:pageBreakBefore w:val="0"/>
        <w:numPr>
          <w:ilvl w:val="0"/>
          <w:numId w:val="3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耐腐蚀：100h内，观察在溶液中样板上划道两侧3mm以外，应无气泡检测合格；耐腐蚀：100h后，检查</w:t>
      </w:r>
      <w:r>
        <w:rPr>
          <w:rFonts w:hint="eastAsia" w:ascii="仿宋" w:hAnsi="仿宋" w:eastAsia="仿宋" w:cs="仿宋"/>
          <w:sz w:val="28"/>
          <w:szCs w:val="28"/>
          <w:lang w:eastAsia="zh-CN"/>
        </w:rPr>
        <w:t>滑道</w:t>
      </w:r>
      <w:r>
        <w:rPr>
          <w:rFonts w:hint="eastAsia" w:ascii="仿宋" w:hAnsi="仿宋" w:eastAsia="仿宋" w:cs="仿宋"/>
          <w:sz w:val="28"/>
          <w:szCs w:val="28"/>
        </w:rPr>
        <w:t>两侧3mm外，应无锈迹、剥落、起皱、变色和失光等现象检测合格；</w:t>
      </w:r>
    </w:p>
    <w:p>
      <w:pPr>
        <w:pStyle w:val="13"/>
        <w:pageBreakBefore w:val="0"/>
        <w:numPr>
          <w:ilvl w:val="0"/>
          <w:numId w:val="3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 xml:space="preserve">附着力应不低于2级  </w:t>
      </w:r>
    </w:p>
    <w:p>
      <w:pPr>
        <w:pStyle w:val="13"/>
        <w:pageBreakBefore w:val="0"/>
        <w:numPr>
          <w:ilvl w:val="0"/>
          <w:numId w:val="3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lang w:eastAsia="zh-CN"/>
        </w:rPr>
        <w:t>椅凳类强度和耐久性测试：包括座面椅背静载荷、扶手侧向及垂直静载荷、椅腿前向及侧向静载荷、座面及椅背冲击试验、扶手冲击试验，所有检测结果均合格。</w:t>
      </w:r>
    </w:p>
    <w:p>
      <w:pPr>
        <w:pStyle w:val="13"/>
        <w:pageBreakBefore w:val="0"/>
        <w:numPr>
          <w:ilvl w:val="0"/>
          <w:numId w:val="3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椅凳类稳定性：向前倾翻、向后倾翻、侧向倾翻检测结果合格</w:t>
      </w:r>
    </w:p>
    <w:p>
      <w:pPr>
        <w:pStyle w:val="13"/>
        <w:pageBreakBefore w:val="0"/>
        <w:numPr>
          <w:ilvl w:val="0"/>
          <w:numId w:val="3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产品寿命：座面、椅背耐久性，扶手耐久性，使用寿命不少于10000次。</w:t>
      </w:r>
    </w:p>
    <w:p>
      <w:pPr>
        <w:pStyle w:val="13"/>
        <w:pageBreakBefore w:val="0"/>
        <w:numPr>
          <w:ilvl w:val="0"/>
          <w:numId w:val="3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 xml:space="preserve">甲醛释放量≤0.05mg/m³ </w:t>
      </w:r>
    </w:p>
    <w:p>
      <w:pPr>
        <w:pStyle w:val="13"/>
        <w:pageBreakBefore w:val="0"/>
        <w:numPr>
          <w:ilvl w:val="0"/>
          <w:numId w:val="3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 xml:space="preserve">苯≤0.05mg/m³ </w:t>
      </w:r>
    </w:p>
    <w:p>
      <w:pPr>
        <w:pStyle w:val="13"/>
        <w:pageBreakBefore w:val="0"/>
        <w:numPr>
          <w:ilvl w:val="0"/>
          <w:numId w:val="3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 xml:space="preserve">甲苯≤0.1mg/m³ </w:t>
      </w:r>
    </w:p>
    <w:p>
      <w:pPr>
        <w:pStyle w:val="13"/>
        <w:pageBreakBefore w:val="0"/>
        <w:numPr>
          <w:ilvl w:val="0"/>
          <w:numId w:val="3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 xml:space="preserve">二甲苯≤0.1mg/m³ </w:t>
      </w:r>
    </w:p>
    <w:p>
      <w:pPr>
        <w:pStyle w:val="13"/>
        <w:pageBreakBefore w:val="0"/>
        <w:numPr>
          <w:ilvl w:val="0"/>
          <w:numId w:val="3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 xml:space="preserve">TVOC≤0.3mg/m³ </w:t>
      </w:r>
    </w:p>
    <w:p>
      <w:pPr>
        <w:pStyle w:val="13"/>
        <w:pageBreakBefore w:val="0"/>
        <w:numPr>
          <w:ilvl w:val="0"/>
          <w:numId w:val="3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lang w:eastAsia="zh-CN"/>
        </w:rPr>
        <w:t>家具涂层中的可迁移元素限量如下：锑（Sb）不超过60mg/kg，砷（As）不超过25mg/kg，钡（Ba）不超过1000mg/kg，镉（Cd）不超过50mg/kg，铬（Cr）不超过25mg/kg，铅（Pb）不超过90mg/kg，汞（Hg）不超过25mg/kg，硒（Se）不超过500mg/kg</w:t>
      </w:r>
    </w:p>
    <w:p>
      <w:pPr>
        <w:pStyle w:val="5"/>
        <w:pageBreakBefore w:val="0"/>
        <w:numPr>
          <w:ilvl w:val="0"/>
          <w:numId w:val="35"/>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医生工作台</w:t>
      </w:r>
    </w:p>
    <w:p>
      <w:pPr>
        <w:pStyle w:val="13"/>
        <w:pageBreakBefore w:val="0"/>
        <w:numPr>
          <w:ilvl w:val="0"/>
          <w:numId w:val="3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符合GB/T 3324-2017《木家具通用技术条件》，GB/T 35607-2017《绿色产品评价 家具》，GB 18584-2001《室内装饰装修材料 木家具中有害物质限量》；</w:t>
      </w:r>
    </w:p>
    <w:p>
      <w:pPr>
        <w:pStyle w:val="13"/>
        <w:pageBreakBefore w:val="0"/>
        <w:numPr>
          <w:ilvl w:val="0"/>
          <w:numId w:val="3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平整度≤0.20mm；</w:t>
      </w:r>
    </w:p>
    <w:p>
      <w:pPr>
        <w:pStyle w:val="13"/>
        <w:pageBreakBefore w:val="0"/>
        <w:numPr>
          <w:ilvl w:val="0"/>
          <w:numId w:val="3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底脚平稳性≤2.0mm；</w:t>
      </w:r>
    </w:p>
    <w:p>
      <w:pPr>
        <w:pStyle w:val="13"/>
        <w:pageBreakBefore w:val="0"/>
        <w:numPr>
          <w:ilvl w:val="0"/>
          <w:numId w:val="3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人造板件外观检测结果合格；</w:t>
      </w:r>
    </w:p>
    <w:p>
      <w:pPr>
        <w:pStyle w:val="13"/>
        <w:pageBreakBefore w:val="0"/>
        <w:numPr>
          <w:ilvl w:val="0"/>
          <w:numId w:val="3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电镀件/喷涂件检测结果合格；</w:t>
      </w:r>
    </w:p>
    <w:p>
      <w:pPr>
        <w:pStyle w:val="13"/>
        <w:pageBreakBefore w:val="0"/>
        <w:numPr>
          <w:ilvl w:val="0"/>
          <w:numId w:val="3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耐冷热循环检测结果合格；</w:t>
      </w:r>
    </w:p>
    <w:p>
      <w:pPr>
        <w:pStyle w:val="13"/>
        <w:pageBreakBefore w:val="0"/>
        <w:numPr>
          <w:ilvl w:val="0"/>
          <w:numId w:val="3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耐干热不低于3级（5级最好，1级最差）；</w:t>
      </w:r>
    </w:p>
    <w:p>
      <w:pPr>
        <w:pStyle w:val="13"/>
        <w:pageBreakBefore w:val="0"/>
        <w:numPr>
          <w:ilvl w:val="0"/>
          <w:numId w:val="3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耐湿热不低于3级（5级最好，1级最差）；</w:t>
      </w:r>
    </w:p>
    <w:p>
      <w:pPr>
        <w:pStyle w:val="13"/>
        <w:pageBreakBefore w:val="0"/>
        <w:numPr>
          <w:ilvl w:val="0"/>
          <w:numId w:val="3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耐划痕检测结果合格；</w:t>
      </w:r>
    </w:p>
    <w:p>
      <w:pPr>
        <w:pStyle w:val="13"/>
        <w:pageBreakBefore w:val="0"/>
        <w:numPr>
          <w:ilvl w:val="0"/>
          <w:numId w:val="3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耐污染性能应不低于3级（5级最好，1级最差）；</w:t>
      </w:r>
    </w:p>
    <w:p>
      <w:pPr>
        <w:pStyle w:val="13"/>
        <w:pageBreakBefore w:val="0"/>
        <w:numPr>
          <w:ilvl w:val="0"/>
          <w:numId w:val="3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表面耐磨性：素色 磨350r后应无露底现象检测结果合格；</w:t>
      </w:r>
    </w:p>
    <w:p>
      <w:pPr>
        <w:pStyle w:val="13"/>
        <w:pageBreakBefore w:val="0"/>
        <w:numPr>
          <w:ilvl w:val="0"/>
          <w:numId w:val="3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抗冲击：冲击高度50mm，应不低于3级（1级最好，5级最差）；</w:t>
      </w:r>
    </w:p>
    <w:p>
      <w:pPr>
        <w:pStyle w:val="13"/>
        <w:pageBreakBefore w:val="0"/>
        <w:numPr>
          <w:ilvl w:val="0"/>
          <w:numId w:val="3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lang w:eastAsia="zh-CN"/>
        </w:rPr>
        <w:t>根据《国家环境标志产品技术要求——人造木质板材》规定，人造板材中甲醛释放量应小于0.20毫克/立方米；木地板中甲醛释放量应小于0.12毫克/立方米。此外，实木复合地板甲醛释放量小于和等于9毫克/100克。</w:t>
      </w:r>
    </w:p>
    <w:p>
      <w:pPr>
        <w:pStyle w:val="13"/>
        <w:pageBreakBefore w:val="0"/>
        <w:numPr>
          <w:ilvl w:val="0"/>
          <w:numId w:val="3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桌类强度和耐久性：主桌面垂直静载荷试验检测结果合格，桌面垂直冲击试验检测结果合格，水平静载荷试验检测结果合格，桌腿跌落试验检测结果合格；</w:t>
      </w:r>
    </w:p>
    <w:p>
      <w:pPr>
        <w:pStyle w:val="13"/>
        <w:pageBreakBefore w:val="0"/>
        <w:numPr>
          <w:ilvl w:val="0"/>
          <w:numId w:val="3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lang w:eastAsia="zh-CN"/>
        </w:rPr>
        <w:t>根据《木家具通用技术条件》(GB/T 3324-2017）标准，桌类家具的垂直加载稳定性试验和垂直及水平加载稳定性试验均检测合格。</w:t>
      </w:r>
    </w:p>
    <w:p>
      <w:pPr>
        <w:pStyle w:val="13"/>
        <w:pageBreakBefore w:val="0"/>
        <w:numPr>
          <w:ilvl w:val="0"/>
          <w:numId w:val="3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苯≤0.05mg/m³；</w:t>
      </w:r>
    </w:p>
    <w:p>
      <w:pPr>
        <w:pStyle w:val="13"/>
        <w:pageBreakBefore w:val="0"/>
        <w:numPr>
          <w:ilvl w:val="0"/>
          <w:numId w:val="3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甲苯≤0.1mg/m³；</w:t>
      </w:r>
    </w:p>
    <w:p>
      <w:pPr>
        <w:pStyle w:val="13"/>
        <w:pageBreakBefore w:val="0"/>
        <w:numPr>
          <w:ilvl w:val="0"/>
          <w:numId w:val="3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二甲苯≤0.1mg/m³；</w:t>
      </w:r>
    </w:p>
    <w:p>
      <w:pPr>
        <w:pStyle w:val="13"/>
        <w:pageBreakBefore w:val="0"/>
        <w:numPr>
          <w:ilvl w:val="0"/>
          <w:numId w:val="3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TVOC≤0.3mg/m³</w:t>
      </w:r>
      <w:r>
        <w:rPr>
          <w:rFonts w:hint="eastAsia" w:ascii="仿宋" w:hAnsi="仿宋" w:eastAsia="仿宋" w:cs="仿宋"/>
          <w:sz w:val="28"/>
          <w:szCs w:val="28"/>
          <w:lang w:eastAsia="zh-CN"/>
        </w:rPr>
        <w:t>;</w:t>
      </w:r>
    </w:p>
    <w:p>
      <w:pPr>
        <w:pStyle w:val="5"/>
        <w:pageBreakBefore w:val="0"/>
        <w:numPr>
          <w:ilvl w:val="0"/>
          <w:numId w:val="35"/>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诊查床</w:t>
      </w:r>
    </w:p>
    <w:p>
      <w:pPr>
        <w:pStyle w:val="13"/>
        <w:pageBreakBefore w:val="0"/>
        <w:numPr>
          <w:ilvl w:val="0"/>
          <w:numId w:val="40"/>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符合GB/T 3324-2017《木家具通用技术条件》、GB/T 35607-2017《绿色产品评价 家具》</w:t>
      </w:r>
    </w:p>
    <w:p>
      <w:pPr>
        <w:pStyle w:val="13"/>
        <w:pageBreakBefore w:val="0"/>
        <w:numPr>
          <w:ilvl w:val="0"/>
          <w:numId w:val="40"/>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 xml:space="preserve">平整度≤0.20mm </w:t>
      </w:r>
    </w:p>
    <w:p>
      <w:pPr>
        <w:pStyle w:val="13"/>
        <w:pageBreakBefore w:val="0"/>
        <w:numPr>
          <w:ilvl w:val="0"/>
          <w:numId w:val="40"/>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 xml:space="preserve">底脚平稳性≤2.0mm </w:t>
      </w:r>
    </w:p>
    <w:p>
      <w:pPr>
        <w:pStyle w:val="13"/>
        <w:pageBreakBefore w:val="0"/>
        <w:numPr>
          <w:ilvl w:val="0"/>
          <w:numId w:val="40"/>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人造板件外观检测结果合格</w:t>
      </w:r>
    </w:p>
    <w:p>
      <w:pPr>
        <w:pStyle w:val="13"/>
        <w:pageBreakBefore w:val="0"/>
        <w:numPr>
          <w:ilvl w:val="0"/>
          <w:numId w:val="40"/>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外观要求：软包要求检测</w:t>
      </w:r>
      <w:r>
        <w:rPr>
          <w:rFonts w:hint="eastAsia" w:ascii="仿宋" w:hAnsi="仿宋" w:eastAsia="仿宋" w:cs="仿宋"/>
          <w:sz w:val="28"/>
          <w:szCs w:val="28"/>
          <w:lang w:eastAsia="zh-CN"/>
        </w:rPr>
        <w:t>合格</w:t>
      </w:r>
      <w:r>
        <w:rPr>
          <w:rFonts w:hint="eastAsia" w:ascii="仿宋" w:hAnsi="仿宋" w:eastAsia="仿宋" w:cs="仿宋"/>
          <w:sz w:val="28"/>
          <w:szCs w:val="28"/>
        </w:rPr>
        <w:t>，木工要求检测合格</w:t>
      </w:r>
    </w:p>
    <w:p>
      <w:pPr>
        <w:pStyle w:val="13"/>
        <w:pageBreakBefore w:val="0"/>
        <w:numPr>
          <w:ilvl w:val="0"/>
          <w:numId w:val="40"/>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lang w:eastAsia="zh-CN"/>
        </w:rPr>
        <w:t>耐冷热循环性能测试结果合格</w:t>
      </w:r>
    </w:p>
    <w:p>
      <w:pPr>
        <w:pStyle w:val="13"/>
        <w:pageBreakBefore w:val="0"/>
        <w:numPr>
          <w:ilvl w:val="0"/>
          <w:numId w:val="40"/>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 xml:space="preserve">耐干热不低于3级  </w:t>
      </w:r>
    </w:p>
    <w:p>
      <w:pPr>
        <w:pStyle w:val="13"/>
        <w:pageBreakBefore w:val="0"/>
        <w:numPr>
          <w:ilvl w:val="0"/>
          <w:numId w:val="40"/>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耐湿热不低于3级</w:t>
      </w:r>
    </w:p>
    <w:p>
      <w:pPr>
        <w:pStyle w:val="13"/>
        <w:pageBreakBefore w:val="0"/>
        <w:numPr>
          <w:ilvl w:val="0"/>
          <w:numId w:val="40"/>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耐划痕检测结果合格</w:t>
      </w:r>
    </w:p>
    <w:p>
      <w:pPr>
        <w:pStyle w:val="13"/>
        <w:pageBreakBefore w:val="0"/>
        <w:numPr>
          <w:ilvl w:val="0"/>
          <w:numId w:val="40"/>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 xml:space="preserve">耐污染性能应不低于3级 </w:t>
      </w:r>
    </w:p>
    <w:p>
      <w:pPr>
        <w:pStyle w:val="13"/>
        <w:pageBreakBefore w:val="0"/>
        <w:numPr>
          <w:ilvl w:val="0"/>
          <w:numId w:val="40"/>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表面耐磨性检测结果合格</w:t>
      </w:r>
    </w:p>
    <w:p>
      <w:pPr>
        <w:pStyle w:val="13"/>
        <w:pageBreakBefore w:val="0"/>
        <w:numPr>
          <w:ilvl w:val="0"/>
          <w:numId w:val="40"/>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lang w:eastAsia="zh-CN"/>
        </w:rPr>
        <w:t>抗冲击性能：在50mm冲击高度下，测试结果不低于3级</w:t>
      </w:r>
      <w:r>
        <w:rPr>
          <w:rFonts w:hint="eastAsia" w:ascii="仿宋" w:hAnsi="仿宋" w:eastAsia="仿宋" w:cs="仿宋"/>
          <w:sz w:val="28"/>
          <w:szCs w:val="28"/>
        </w:rPr>
        <w:t xml:space="preserve"> </w:t>
      </w:r>
    </w:p>
    <w:p>
      <w:pPr>
        <w:pStyle w:val="13"/>
        <w:pageBreakBefore w:val="0"/>
        <w:numPr>
          <w:ilvl w:val="0"/>
          <w:numId w:val="40"/>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 xml:space="preserve">耐光色牢度（灰色样卡）≥4级  </w:t>
      </w:r>
    </w:p>
    <w:p>
      <w:pPr>
        <w:pStyle w:val="13"/>
        <w:pageBreakBefore w:val="0"/>
        <w:numPr>
          <w:ilvl w:val="0"/>
          <w:numId w:val="40"/>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床强度和耐久性：床铺面均匀布载静载荷、床铺面集中静载荷、床长边静载荷、床铺面冲击</w:t>
      </w:r>
      <w:r>
        <w:rPr>
          <w:rFonts w:hint="eastAsia" w:ascii="仿宋" w:hAnsi="仿宋" w:eastAsia="仿宋" w:cs="仿宋"/>
          <w:sz w:val="28"/>
          <w:szCs w:val="28"/>
          <w:lang w:eastAsia="zh-CN"/>
        </w:rPr>
        <w:t>载荷</w:t>
      </w:r>
      <w:r>
        <w:rPr>
          <w:rFonts w:hint="eastAsia" w:ascii="仿宋" w:hAnsi="仿宋" w:eastAsia="仿宋" w:cs="仿宋"/>
          <w:sz w:val="28"/>
          <w:szCs w:val="28"/>
        </w:rPr>
        <w:t>检测结果合格</w:t>
      </w:r>
    </w:p>
    <w:p>
      <w:pPr>
        <w:pStyle w:val="13"/>
        <w:pageBreakBefore w:val="0"/>
        <w:numPr>
          <w:ilvl w:val="0"/>
          <w:numId w:val="40"/>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床结构耐久性检测结果合格</w:t>
      </w:r>
    </w:p>
    <w:p>
      <w:pPr>
        <w:pStyle w:val="13"/>
        <w:pageBreakBefore w:val="0"/>
        <w:numPr>
          <w:ilvl w:val="0"/>
          <w:numId w:val="40"/>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 xml:space="preserve">甲醛释放量≤0.05mg/m³ </w:t>
      </w:r>
    </w:p>
    <w:p>
      <w:pPr>
        <w:pStyle w:val="13"/>
        <w:pageBreakBefore w:val="0"/>
        <w:numPr>
          <w:ilvl w:val="0"/>
          <w:numId w:val="40"/>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 xml:space="preserve">苯≤0.05mg/m³ </w:t>
      </w:r>
    </w:p>
    <w:p>
      <w:pPr>
        <w:pStyle w:val="13"/>
        <w:pageBreakBefore w:val="0"/>
        <w:numPr>
          <w:ilvl w:val="0"/>
          <w:numId w:val="40"/>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 xml:space="preserve">甲苯≤0.1mg/m³  </w:t>
      </w:r>
    </w:p>
    <w:p>
      <w:pPr>
        <w:pStyle w:val="13"/>
        <w:pageBreakBefore w:val="0"/>
        <w:numPr>
          <w:ilvl w:val="0"/>
          <w:numId w:val="40"/>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 xml:space="preserve">二甲苯≤0.1mg/m³ </w:t>
      </w:r>
    </w:p>
    <w:p>
      <w:pPr>
        <w:pStyle w:val="13"/>
        <w:pageBreakBefore w:val="0"/>
        <w:numPr>
          <w:ilvl w:val="0"/>
          <w:numId w:val="40"/>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 xml:space="preserve">TVOC≤0.3mg/m³ </w:t>
      </w:r>
    </w:p>
    <w:p>
      <w:pPr>
        <w:pStyle w:val="13"/>
        <w:pageBreakBefore w:val="0"/>
        <w:numPr>
          <w:ilvl w:val="0"/>
          <w:numId w:val="40"/>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4-氨基联苯≤30mg/kg</w:t>
      </w:r>
    </w:p>
    <w:p>
      <w:pPr>
        <w:pStyle w:val="13"/>
        <w:pageBreakBefore w:val="0"/>
        <w:numPr>
          <w:ilvl w:val="0"/>
          <w:numId w:val="40"/>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联苯胺≤30mg/kg</w:t>
      </w:r>
    </w:p>
    <w:p>
      <w:pPr>
        <w:pStyle w:val="5"/>
        <w:pageBreakBefore w:val="0"/>
        <w:numPr>
          <w:ilvl w:val="0"/>
          <w:numId w:val="35"/>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办公椅</w:t>
      </w:r>
    </w:p>
    <w:p>
      <w:pPr>
        <w:pStyle w:val="13"/>
        <w:pageBreakBefore w:val="0"/>
        <w:numPr>
          <w:ilvl w:val="0"/>
          <w:numId w:val="41"/>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符合QB/T 2280-2016《办公家具 办公椅》，GB/T 35607-2017 《绿色产品评价 家具》；</w:t>
      </w:r>
    </w:p>
    <w:p>
      <w:pPr>
        <w:pStyle w:val="13"/>
        <w:pageBreakBefore w:val="0"/>
        <w:numPr>
          <w:ilvl w:val="0"/>
          <w:numId w:val="41"/>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lang w:eastAsia="zh-CN"/>
        </w:rPr>
        <w:t>外形对称度控制在6mm以内，座面左右水平偏差不超过6mm，着地平稳性保持在2mm以下；</w:t>
      </w:r>
    </w:p>
    <w:p>
      <w:pPr>
        <w:pStyle w:val="13"/>
        <w:pageBreakBefore w:val="0"/>
        <w:numPr>
          <w:ilvl w:val="0"/>
          <w:numId w:val="41"/>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塑料件外观检测结果合格；</w:t>
      </w:r>
    </w:p>
    <w:p>
      <w:pPr>
        <w:pStyle w:val="13"/>
        <w:pageBreakBefore w:val="0"/>
        <w:numPr>
          <w:ilvl w:val="0"/>
          <w:numId w:val="41"/>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软、硬包件外观检测结果合格；</w:t>
      </w:r>
    </w:p>
    <w:p>
      <w:pPr>
        <w:pStyle w:val="13"/>
        <w:pageBreakBefore w:val="0"/>
        <w:numPr>
          <w:ilvl w:val="0"/>
          <w:numId w:val="41"/>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金属件外观检测结果合格；</w:t>
      </w:r>
    </w:p>
    <w:p>
      <w:pPr>
        <w:pStyle w:val="13"/>
        <w:pageBreakBefore w:val="0"/>
        <w:numPr>
          <w:ilvl w:val="0"/>
          <w:numId w:val="41"/>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涂层和镀层检测结果合格；</w:t>
      </w:r>
    </w:p>
    <w:p>
      <w:pPr>
        <w:pStyle w:val="13"/>
        <w:pageBreakBefore w:val="0"/>
        <w:numPr>
          <w:ilvl w:val="0"/>
          <w:numId w:val="41"/>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lang w:eastAsia="zh-CN"/>
        </w:rPr>
        <w:t>硬质聚氨酯泡沫塑料</w:t>
      </w:r>
      <w:r>
        <w:rPr>
          <w:rFonts w:hint="eastAsia" w:ascii="仿宋" w:hAnsi="仿宋" w:eastAsia="仿宋" w:cs="仿宋"/>
          <w:sz w:val="28"/>
          <w:szCs w:val="28"/>
        </w:rPr>
        <w:t>密度：座面≥25kg/m³；</w:t>
      </w:r>
    </w:p>
    <w:p>
      <w:pPr>
        <w:pStyle w:val="13"/>
        <w:pageBreakBefore w:val="0"/>
        <w:numPr>
          <w:ilvl w:val="0"/>
          <w:numId w:val="41"/>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软质聚氨酯泡沫塑料回弹性≥35%；</w:t>
      </w:r>
    </w:p>
    <w:p>
      <w:pPr>
        <w:pStyle w:val="13"/>
        <w:pageBreakBefore w:val="0"/>
        <w:numPr>
          <w:ilvl w:val="0"/>
          <w:numId w:val="41"/>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软质聚氨酯泡沫塑料75%压缩永久变形≤10%；</w:t>
      </w:r>
    </w:p>
    <w:p>
      <w:pPr>
        <w:pStyle w:val="13"/>
        <w:pageBreakBefore w:val="0"/>
        <w:numPr>
          <w:ilvl w:val="0"/>
          <w:numId w:val="41"/>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lang w:eastAsia="zh-CN"/>
        </w:rPr>
        <w:t>面料经过干摩擦测试，色牢度达到3级以上；</w:t>
      </w:r>
    </w:p>
    <w:p>
      <w:pPr>
        <w:pStyle w:val="13"/>
        <w:pageBreakBefore w:val="0"/>
        <w:numPr>
          <w:ilvl w:val="0"/>
          <w:numId w:val="41"/>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耐盐雾检测结果合格；</w:t>
      </w:r>
    </w:p>
    <w:p>
      <w:pPr>
        <w:pStyle w:val="13"/>
        <w:pageBreakBefore w:val="0"/>
        <w:numPr>
          <w:ilvl w:val="0"/>
          <w:numId w:val="41"/>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lang w:eastAsia="zh-CN"/>
        </w:rPr>
        <w:t>力学性能方面，包括稳定性、座面冲击试验、扶手垂直及水平静载荷试验、脚轮往复磨损试验、底座静载荷试验、椅背往复耐久性试验、座面耐久性试验以及跌落试验，所有检测结果均为合格。</w:t>
      </w:r>
    </w:p>
    <w:p>
      <w:pPr>
        <w:pStyle w:val="13"/>
        <w:pageBreakBefore w:val="0"/>
        <w:numPr>
          <w:ilvl w:val="0"/>
          <w:numId w:val="41"/>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阻燃性能检测结果合格；</w:t>
      </w:r>
    </w:p>
    <w:p>
      <w:pPr>
        <w:pStyle w:val="13"/>
        <w:pageBreakBefore w:val="0"/>
        <w:numPr>
          <w:ilvl w:val="0"/>
          <w:numId w:val="41"/>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甲醛释放量≤0.05mg/m³；</w:t>
      </w:r>
    </w:p>
    <w:p>
      <w:pPr>
        <w:pStyle w:val="13"/>
        <w:pageBreakBefore w:val="0"/>
        <w:numPr>
          <w:ilvl w:val="0"/>
          <w:numId w:val="41"/>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苯≤0.05mg/m³；</w:t>
      </w:r>
    </w:p>
    <w:p>
      <w:pPr>
        <w:pStyle w:val="13"/>
        <w:pageBreakBefore w:val="0"/>
        <w:numPr>
          <w:ilvl w:val="0"/>
          <w:numId w:val="41"/>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甲苯≤0.1mg/m³；</w:t>
      </w:r>
    </w:p>
    <w:p>
      <w:pPr>
        <w:pStyle w:val="13"/>
        <w:pageBreakBefore w:val="0"/>
        <w:numPr>
          <w:ilvl w:val="0"/>
          <w:numId w:val="41"/>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二甲苯≤0.1mg/m³；</w:t>
      </w:r>
    </w:p>
    <w:p>
      <w:pPr>
        <w:pStyle w:val="13"/>
        <w:pageBreakBefore w:val="0"/>
        <w:numPr>
          <w:ilvl w:val="0"/>
          <w:numId w:val="41"/>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TVOC≤0.3mg/m³</w:t>
      </w:r>
      <w:r>
        <w:rPr>
          <w:rFonts w:hint="eastAsia" w:ascii="仿宋" w:hAnsi="仿宋" w:eastAsia="仿宋" w:cs="仿宋"/>
          <w:sz w:val="28"/>
          <w:szCs w:val="28"/>
          <w:lang w:eastAsia="zh-CN"/>
        </w:rPr>
        <w:t>;</w:t>
      </w:r>
    </w:p>
    <w:p>
      <w:pPr>
        <w:pStyle w:val="13"/>
        <w:pageBreakBefore w:val="0"/>
        <w:numPr>
          <w:ilvl w:val="0"/>
          <w:numId w:val="41"/>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lang w:eastAsia="zh-CN"/>
        </w:rPr>
        <w:t>根据强制性国家标准GB 18584-2024《家具中有害物质限量》，家具表面涂层中可迁移元素的限量要求如下：锑Sb≤60mg/kg，砷As≤25mg/kg，钡Ba≤1000mg/kg，镉Cd≤50mg/kg，铬Cr≤25mg/kg，铅Pb≤90mg/kg，汞Hg≤25mg/kg，硒Se≤500mg/kg。</w:t>
      </w:r>
    </w:p>
    <w:p>
      <w:pPr>
        <w:pStyle w:val="13"/>
        <w:pageBreakBefore w:val="0"/>
        <w:numPr>
          <w:ilvl w:val="0"/>
          <w:numId w:val="41"/>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4-氨基联苯≤20mg/kg</w:t>
      </w:r>
    </w:p>
    <w:p>
      <w:pPr>
        <w:pStyle w:val="13"/>
        <w:pageBreakBefore w:val="0"/>
        <w:numPr>
          <w:ilvl w:val="0"/>
          <w:numId w:val="41"/>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联苯胺≤20mg/kg</w:t>
      </w:r>
    </w:p>
    <w:p>
      <w:pPr>
        <w:pStyle w:val="5"/>
        <w:pageBreakBefore w:val="0"/>
        <w:numPr>
          <w:ilvl w:val="0"/>
          <w:numId w:val="35"/>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病人椅</w:t>
      </w:r>
    </w:p>
    <w:p>
      <w:pPr>
        <w:pStyle w:val="13"/>
        <w:pageBreakBefore w:val="0"/>
        <w:numPr>
          <w:ilvl w:val="0"/>
          <w:numId w:val="4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符合GB/T 3324-2017《木家具通用技术条件》、GB/T 35607-2017《绿色产品评价 家具》</w:t>
      </w:r>
    </w:p>
    <w:p>
      <w:pPr>
        <w:pStyle w:val="13"/>
        <w:pageBreakBefore w:val="0"/>
        <w:numPr>
          <w:ilvl w:val="0"/>
          <w:numId w:val="4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底脚平稳性≤2mm；</w:t>
      </w:r>
    </w:p>
    <w:p>
      <w:pPr>
        <w:pStyle w:val="13"/>
        <w:pageBreakBefore w:val="0"/>
        <w:numPr>
          <w:ilvl w:val="0"/>
          <w:numId w:val="4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木工要求检测结果合格</w:t>
      </w:r>
    </w:p>
    <w:p>
      <w:pPr>
        <w:pStyle w:val="13"/>
        <w:pageBreakBefore w:val="0"/>
        <w:numPr>
          <w:ilvl w:val="0"/>
          <w:numId w:val="4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耐冷热循环检测结果合格；</w:t>
      </w:r>
    </w:p>
    <w:p>
      <w:pPr>
        <w:pStyle w:val="13"/>
        <w:pageBreakBefore w:val="0"/>
        <w:numPr>
          <w:ilvl w:val="0"/>
          <w:numId w:val="4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耐干热不低于3级；</w:t>
      </w:r>
    </w:p>
    <w:p>
      <w:pPr>
        <w:pStyle w:val="13"/>
        <w:pageBreakBefore w:val="0"/>
        <w:numPr>
          <w:ilvl w:val="0"/>
          <w:numId w:val="4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耐湿热不低于3级；</w:t>
      </w:r>
    </w:p>
    <w:p>
      <w:pPr>
        <w:pStyle w:val="13"/>
        <w:pageBreakBefore w:val="0"/>
        <w:numPr>
          <w:ilvl w:val="0"/>
          <w:numId w:val="4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耐划痕检测结果合格；</w:t>
      </w:r>
    </w:p>
    <w:p>
      <w:pPr>
        <w:pStyle w:val="13"/>
        <w:pageBreakBefore w:val="0"/>
        <w:numPr>
          <w:ilvl w:val="0"/>
          <w:numId w:val="4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耐污染性能应不低于3级；</w:t>
      </w:r>
    </w:p>
    <w:p>
      <w:pPr>
        <w:pStyle w:val="13"/>
        <w:pageBreakBefore w:val="0"/>
        <w:numPr>
          <w:ilvl w:val="0"/>
          <w:numId w:val="4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表面耐磨性检测结果合格；</w:t>
      </w:r>
    </w:p>
    <w:p>
      <w:pPr>
        <w:pStyle w:val="13"/>
        <w:pageBreakBefore w:val="0"/>
        <w:numPr>
          <w:ilvl w:val="0"/>
          <w:numId w:val="4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抗冲击不低于3级；</w:t>
      </w:r>
    </w:p>
    <w:p>
      <w:pPr>
        <w:pStyle w:val="13"/>
        <w:pageBreakBefore w:val="0"/>
        <w:numPr>
          <w:ilvl w:val="0"/>
          <w:numId w:val="4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耐光色牢度（灰色样卡）≥4级；</w:t>
      </w:r>
    </w:p>
    <w:p>
      <w:pPr>
        <w:pStyle w:val="13"/>
        <w:pageBreakBefore w:val="0"/>
        <w:numPr>
          <w:ilvl w:val="0"/>
          <w:numId w:val="4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椅凳类强度和耐久性：座面椅背静载荷，椅腿向前静载荷，椅腿侧向静载荷，座面冲击试验，椅背冲击检测结果合格；</w:t>
      </w:r>
    </w:p>
    <w:p>
      <w:pPr>
        <w:pStyle w:val="13"/>
        <w:pageBreakBefore w:val="0"/>
        <w:numPr>
          <w:ilvl w:val="0"/>
          <w:numId w:val="4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椅凳类稳定性：向前倾翻、向后倾翻、侧向倾翻检测结果合格；</w:t>
      </w:r>
    </w:p>
    <w:p>
      <w:pPr>
        <w:pStyle w:val="13"/>
        <w:pageBreakBefore w:val="0"/>
        <w:numPr>
          <w:ilvl w:val="0"/>
          <w:numId w:val="4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产品使用寿命不少于10000次；</w:t>
      </w:r>
    </w:p>
    <w:p>
      <w:pPr>
        <w:pStyle w:val="13"/>
        <w:pageBreakBefore w:val="0"/>
        <w:numPr>
          <w:ilvl w:val="0"/>
          <w:numId w:val="4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甲醛释放量≤0.05mg/m³；</w:t>
      </w:r>
    </w:p>
    <w:p>
      <w:pPr>
        <w:pStyle w:val="13"/>
        <w:pageBreakBefore w:val="0"/>
        <w:numPr>
          <w:ilvl w:val="0"/>
          <w:numId w:val="4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苯≤0.05mg/m³；</w:t>
      </w:r>
    </w:p>
    <w:p>
      <w:pPr>
        <w:pStyle w:val="13"/>
        <w:pageBreakBefore w:val="0"/>
        <w:numPr>
          <w:ilvl w:val="0"/>
          <w:numId w:val="4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甲苯≤0.1mg/m³；</w:t>
      </w:r>
    </w:p>
    <w:p>
      <w:pPr>
        <w:pStyle w:val="13"/>
        <w:pageBreakBefore w:val="0"/>
        <w:numPr>
          <w:ilvl w:val="0"/>
          <w:numId w:val="4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二甲苯≤0.1mg/m³；</w:t>
      </w:r>
    </w:p>
    <w:p>
      <w:pPr>
        <w:pStyle w:val="13"/>
        <w:pageBreakBefore w:val="0"/>
        <w:numPr>
          <w:ilvl w:val="0"/>
          <w:numId w:val="4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TVOC≤0.3mg/m³</w:t>
      </w:r>
      <w:r>
        <w:rPr>
          <w:rFonts w:hint="eastAsia" w:ascii="仿宋" w:hAnsi="仿宋" w:eastAsia="仿宋" w:cs="仿宋"/>
          <w:sz w:val="28"/>
          <w:szCs w:val="28"/>
          <w:lang w:eastAsia="zh-CN"/>
        </w:rPr>
        <w:t>;</w:t>
      </w:r>
    </w:p>
    <w:p>
      <w:pPr>
        <w:pStyle w:val="5"/>
        <w:pageBreakBefore w:val="0"/>
        <w:numPr>
          <w:ilvl w:val="0"/>
          <w:numId w:val="35"/>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医用资料柜</w:t>
      </w:r>
    </w:p>
    <w:p>
      <w:pPr>
        <w:pStyle w:val="13"/>
        <w:pageBreakBefore w:val="0"/>
        <w:numPr>
          <w:ilvl w:val="0"/>
          <w:numId w:val="4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符合GB/T 3324-2017《木家具通用技术条件》、GB/T 35607-2017《绿色产品评价 家具》</w:t>
      </w:r>
    </w:p>
    <w:p>
      <w:pPr>
        <w:pStyle w:val="13"/>
        <w:pageBreakBefore w:val="0"/>
        <w:numPr>
          <w:ilvl w:val="0"/>
          <w:numId w:val="4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平整度≤0.20mm；</w:t>
      </w:r>
    </w:p>
    <w:p>
      <w:pPr>
        <w:pStyle w:val="13"/>
        <w:pageBreakBefore w:val="0"/>
        <w:numPr>
          <w:ilvl w:val="0"/>
          <w:numId w:val="4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位差度≤2.0mm；</w:t>
      </w:r>
    </w:p>
    <w:p>
      <w:pPr>
        <w:pStyle w:val="13"/>
        <w:pageBreakBefore w:val="0"/>
        <w:numPr>
          <w:ilvl w:val="0"/>
          <w:numId w:val="4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分缝≤2.00mm；</w:t>
      </w:r>
    </w:p>
    <w:p>
      <w:pPr>
        <w:pStyle w:val="13"/>
        <w:pageBreakBefore w:val="0"/>
        <w:numPr>
          <w:ilvl w:val="0"/>
          <w:numId w:val="4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底脚平稳性≤2.0mm；</w:t>
      </w:r>
    </w:p>
    <w:p>
      <w:pPr>
        <w:pStyle w:val="13"/>
        <w:pageBreakBefore w:val="0"/>
        <w:numPr>
          <w:ilvl w:val="0"/>
          <w:numId w:val="4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人造板件外观检测结果合格；木工要求检测结果合格</w:t>
      </w:r>
    </w:p>
    <w:p>
      <w:pPr>
        <w:pStyle w:val="13"/>
        <w:pageBreakBefore w:val="0"/>
        <w:numPr>
          <w:ilvl w:val="0"/>
          <w:numId w:val="4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耐冷热循环检测结果合格；</w:t>
      </w:r>
    </w:p>
    <w:p>
      <w:pPr>
        <w:pStyle w:val="13"/>
        <w:pageBreakBefore w:val="0"/>
        <w:numPr>
          <w:ilvl w:val="0"/>
          <w:numId w:val="4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耐干热不低于3级；</w:t>
      </w:r>
    </w:p>
    <w:p>
      <w:pPr>
        <w:pStyle w:val="13"/>
        <w:pageBreakBefore w:val="0"/>
        <w:numPr>
          <w:ilvl w:val="0"/>
          <w:numId w:val="4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耐湿热不低于3级；</w:t>
      </w:r>
    </w:p>
    <w:p>
      <w:pPr>
        <w:pStyle w:val="13"/>
        <w:pageBreakBefore w:val="0"/>
        <w:numPr>
          <w:ilvl w:val="0"/>
          <w:numId w:val="4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耐划痕检测结果合格；</w:t>
      </w:r>
    </w:p>
    <w:p>
      <w:pPr>
        <w:pStyle w:val="13"/>
        <w:pageBreakBefore w:val="0"/>
        <w:numPr>
          <w:ilvl w:val="0"/>
          <w:numId w:val="4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耐污染性能应不低于3级；</w:t>
      </w:r>
    </w:p>
    <w:p>
      <w:pPr>
        <w:pStyle w:val="13"/>
        <w:pageBreakBefore w:val="0"/>
        <w:numPr>
          <w:ilvl w:val="0"/>
          <w:numId w:val="4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表面耐磨性检测结果合格；</w:t>
      </w:r>
    </w:p>
    <w:p>
      <w:pPr>
        <w:pStyle w:val="13"/>
        <w:pageBreakBefore w:val="0"/>
        <w:numPr>
          <w:ilvl w:val="0"/>
          <w:numId w:val="4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抗冲击不低于3级；</w:t>
      </w:r>
    </w:p>
    <w:p>
      <w:pPr>
        <w:pStyle w:val="13"/>
        <w:pageBreakBefore w:val="0"/>
        <w:numPr>
          <w:ilvl w:val="0"/>
          <w:numId w:val="4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耐光色牢度（灰色样卡）≥4级；</w:t>
      </w:r>
    </w:p>
    <w:p>
      <w:pPr>
        <w:pStyle w:val="13"/>
        <w:pageBreakBefore w:val="0"/>
        <w:numPr>
          <w:ilvl w:val="0"/>
          <w:numId w:val="4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柜类强度和耐久性：搁板定位试验，搁板弯曲试验，搁板</w:t>
      </w:r>
      <w:r>
        <w:rPr>
          <w:rFonts w:hint="eastAsia" w:ascii="仿宋" w:hAnsi="仿宋" w:eastAsia="仿宋" w:cs="仿宋"/>
          <w:sz w:val="28"/>
          <w:szCs w:val="28"/>
          <w:lang w:eastAsia="zh-CN"/>
        </w:rPr>
        <w:t>支撑</w:t>
      </w:r>
      <w:r>
        <w:rPr>
          <w:rFonts w:hint="eastAsia" w:ascii="仿宋" w:hAnsi="仿宋" w:eastAsia="仿宋" w:cs="仿宋"/>
          <w:sz w:val="28"/>
          <w:szCs w:val="28"/>
        </w:rPr>
        <w:t>件强度试验，底板的持续加载试验，结构和底架强度试验，跌落试验，拉门垂直加载试验，拉门水平加载试验，拉门猛关试验检测结果合格；</w:t>
      </w:r>
    </w:p>
    <w:p>
      <w:pPr>
        <w:pStyle w:val="13"/>
        <w:pageBreakBefore w:val="0"/>
        <w:numPr>
          <w:ilvl w:val="0"/>
          <w:numId w:val="4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搁板稳定性：搁板水平加载稳定性，搁板垂直加载稳定性检测结果合格；</w:t>
      </w:r>
    </w:p>
    <w:p>
      <w:pPr>
        <w:pStyle w:val="13"/>
        <w:pageBreakBefore w:val="0"/>
        <w:numPr>
          <w:ilvl w:val="0"/>
          <w:numId w:val="4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柜类稳定性：非固定柜空载稳定性试验，非固定柜加载稳定性试验检测结果合格；</w:t>
      </w:r>
    </w:p>
    <w:p>
      <w:pPr>
        <w:pStyle w:val="13"/>
        <w:pageBreakBefore w:val="0"/>
        <w:numPr>
          <w:ilvl w:val="0"/>
          <w:numId w:val="4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结构安全检测结果合格；</w:t>
      </w:r>
    </w:p>
    <w:p>
      <w:pPr>
        <w:pStyle w:val="13"/>
        <w:pageBreakBefore w:val="0"/>
        <w:numPr>
          <w:ilvl w:val="0"/>
          <w:numId w:val="4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产品使用寿命不少于10000次；</w:t>
      </w:r>
    </w:p>
    <w:p>
      <w:pPr>
        <w:pStyle w:val="13"/>
        <w:pageBreakBefore w:val="0"/>
        <w:numPr>
          <w:ilvl w:val="0"/>
          <w:numId w:val="4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甲醛释放量≤0.05mg/m³；</w:t>
      </w:r>
    </w:p>
    <w:p>
      <w:pPr>
        <w:pStyle w:val="13"/>
        <w:pageBreakBefore w:val="0"/>
        <w:numPr>
          <w:ilvl w:val="0"/>
          <w:numId w:val="4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苯≤0.05mg/m³；</w:t>
      </w:r>
    </w:p>
    <w:p>
      <w:pPr>
        <w:pStyle w:val="13"/>
        <w:pageBreakBefore w:val="0"/>
        <w:numPr>
          <w:ilvl w:val="0"/>
          <w:numId w:val="4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甲苯≤0.1mg/m³；</w:t>
      </w:r>
    </w:p>
    <w:p>
      <w:pPr>
        <w:pStyle w:val="13"/>
        <w:pageBreakBefore w:val="0"/>
        <w:numPr>
          <w:ilvl w:val="0"/>
          <w:numId w:val="4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二甲苯≤0.1mg/m³；</w:t>
      </w:r>
    </w:p>
    <w:p>
      <w:pPr>
        <w:pStyle w:val="13"/>
        <w:pageBreakBefore w:val="0"/>
        <w:numPr>
          <w:ilvl w:val="0"/>
          <w:numId w:val="4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TVOC≤0.3mg/m³</w:t>
      </w:r>
      <w:r>
        <w:rPr>
          <w:rFonts w:hint="eastAsia" w:ascii="仿宋" w:hAnsi="仿宋" w:eastAsia="仿宋" w:cs="仿宋"/>
          <w:sz w:val="28"/>
          <w:szCs w:val="28"/>
          <w:lang w:eastAsia="zh-CN"/>
        </w:rPr>
        <w:t>;</w:t>
      </w:r>
    </w:p>
    <w:p>
      <w:pPr>
        <w:pStyle w:val="5"/>
        <w:pageBreakBefore w:val="0"/>
        <w:numPr>
          <w:ilvl w:val="0"/>
          <w:numId w:val="35"/>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医疗衣物柜</w:t>
      </w:r>
    </w:p>
    <w:p>
      <w:pPr>
        <w:pStyle w:val="13"/>
        <w:pageBreakBefore w:val="0"/>
        <w:numPr>
          <w:ilvl w:val="0"/>
          <w:numId w:val="44"/>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符合GB/T 3325-2017《金属家具通用技术条件》，GB/T 35607-2017《绿色产品评价 家具》；</w:t>
      </w:r>
    </w:p>
    <w:p>
      <w:pPr>
        <w:pStyle w:val="13"/>
        <w:pageBreakBefore w:val="0"/>
        <w:numPr>
          <w:ilvl w:val="0"/>
          <w:numId w:val="44"/>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平整度≤0.20mm；</w:t>
      </w:r>
    </w:p>
    <w:p>
      <w:pPr>
        <w:pStyle w:val="13"/>
        <w:pageBreakBefore w:val="0"/>
        <w:numPr>
          <w:ilvl w:val="0"/>
          <w:numId w:val="44"/>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位差度≤2.0mm；</w:t>
      </w:r>
    </w:p>
    <w:p>
      <w:pPr>
        <w:pStyle w:val="13"/>
        <w:pageBreakBefore w:val="0"/>
        <w:numPr>
          <w:ilvl w:val="0"/>
          <w:numId w:val="44"/>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分缝≤2.0mm；</w:t>
      </w:r>
    </w:p>
    <w:p>
      <w:pPr>
        <w:pStyle w:val="13"/>
        <w:pageBreakBefore w:val="0"/>
        <w:numPr>
          <w:ilvl w:val="0"/>
          <w:numId w:val="44"/>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着地平稳性≤2.0mm；</w:t>
      </w:r>
    </w:p>
    <w:p>
      <w:pPr>
        <w:pStyle w:val="13"/>
        <w:pageBreakBefore w:val="0"/>
        <w:numPr>
          <w:ilvl w:val="0"/>
          <w:numId w:val="44"/>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lang w:eastAsia="zh-CN"/>
        </w:rPr>
        <w:t>金属部件包括焊接件、冲压件均检测合格，喷涂层和电镀层也均符合要求；整体结构安全检测通过。</w:t>
      </w:r>
    </w:p>
    <w:p>
      <w:pPr>
        <w:pStyle w:val="13"/>
        <w:pageBreakBefore w:val="0"/>
        <w:numPr>
          <w:ilvl w:val="0"/>
          <w:numId w:val="44"/>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涂层和覆面层可溶性重金属</w:t>
      </w:r>
      <w:r>
        <w:rPr>
          <w:rFonts w:hint="eastAsia" w:ascii="仿宋" w:hAnsi="仿宋" w:eastAsia="仿宋" w:cs="仿宋"/>
          <w:sz w:val="28"/>
          <w:szCs w:val="28"/>
          <w:lang w:eastAsia="zh-CN"/>
        </w:rPr>
        <w:t>：</w:t>
      </w:r>
      <w:r>
        <w:rPr>
          <w:rFonts w:hint="eastAsia" w:ascii="仿宋" w:hAnsi="仿宋" w:eastAsia="仿宋" w:cs="仿宋"/>
          <w:sz w:val="28"/>
          <w:szCs w:val="28"/>
        </w:rPr>
        <w:t>可溶性铅≤90mg/kg，可溶性镉≤75mg/kg，可溶性铬≤60mg/kg，可溶性汞≤60mg/kg；</w:t>
      </w:r>
    </w:p>
    <w:p>
      <w:pPr>
        <w:pStyle w:val="13"/>
        <w:pageBreakBefore w:val="0"/>
        <w:numPr>
          <w:ilvl w:val="0"/>
          <w:numId w:val="44"/>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硬度≥H；</w:t>
      </w:r>
    </w:p>
    <w:p>
      <w:pPr>
        <w:pStyle w:val="13"/>
        <w:pageBreakBefore w:val="0"/>
        <w:numPr>
          <w:ilvl w:val="0"/>
          <w:numId w:val="44"/>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冲击强度检测结果合格；</w:t>
      </w:r>
    </w:p>
    <w:p>
      <w:pPr>
        <w:pStyle w:val="13"/>
        <w:pageBreakBefore w:val="0"/>
        <w:numPr>
          <w:ilvl w:val="0"/>
          <w:numId w:val="44"/>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耐腐蚀：100h内，观察在溶液中样板上划道两侧3mm以外，应无气泡检测合格；耐腐蚀：100h后，检查</w:t>
      </w:r>
      <w:r>
        <w:rPr>
          <w:rFonts w:hint="eastAsia" w:ascii="仿宋" w:hAnsi="仿宋" w:eastAsia="仿宋" w:cs="仿宋"/>
          <w:sz w:val="28"/>
          <w:szCs w:val="28"/>
          <w:lang w:eastAsia="zh-CN"/>
        </w:rPr>
        <w:t>滑道</w:t>
      </w:r>
      <w:r>
        <w:rPr>
          <w:rFonts w:hint="eastAsia" w:ascii="仿宋" w:hAnsi="仿宋" w:eastAsia="仿宋" w:cs="仿宋"/>
          <w:sz w:val="28"/>
          <w:szCs w:val="28"/>
        </w:rPr>
        <w:t>两侧3mm外，应无锈迹、剥落、起皱、变色和失光等现象检测合格；</w:t>
      </w:r>
    </w:p>
    <w:p>
      <w:pPr>
        <w:pStyle w:val="13"/>
        <w:pageBreakBefore w:val="0"/>
        <w:numPr>
          <w:ilvl w:val="0"/>
          <w:numId w:val="44"/>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附着力应不低于2级；</w:t>
      </w:r>
    </w:p>
    <w:p>
      <w:pPr>
        <w:pStyle w:val="13"/>
        <w:pageBreakBefore w:val="0"/>
        <w:numPr>
          <w:ilvl w:val="0"/>
          <w:numId w:val="44"/>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抗盐雾检测结果合格；</w:t>
      </w:r>
    </w:p>
    <w:p>
      <w:pPr>
        <w:pStyle w:val="13"/>
        <w:pageBreakBefore w:val="0"/>
        <w:numPr>
          <w:ilvl w:val="0"/>
          <w:numId w:val="44"/>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柜类强度和耐久性：顶板和底板静载荷试验检测结果合格，结构和底架强度试验检测结果合格，跌落试验检测结果合格，拉门垂直加载试验检测结果合格，拉门水平加载试验检测结果合格，拉门</w:t>
      </w:r>
      <w:r>
        <w:rPr>
          <w:rFonts w:hint="eastAsia" w:ascii="仿宋" w:hAnsi="仿宋" w:eastAsia="仿宋" w:cs="仿宋"/>
          <w:sz w:val="28"/>
          <w:szCs w:val="28"/>
          <w:lang w:eastAsia="zh-CN"/>
        </w:rPr>
        <w:t>开关</w:t>
      </w:r>
      <w:r>
        <w:rPr>
          <w:rFonts w:hint="eastAsia" w:ascii="仿宋" w:hAnsi="仿宋" w:eastAsia="仿宋" w:cs="仿宋"/>
          <w:sz w:val="28"/>
          <w:szCs w:val="28"/>
        </w:rPr>
        <w:t>试验检测结果合格，门锁、插销的强度试验检测结果合格；</w:t>
      </w:r>
    </w:p>
    <w:p>
      <w:pPr>
        <w:pStyle w:val="13"/>
        <w:pageBreakBefore w:val="0"/>
        <w:numPr>
          <w:ilvl w:val="0"/>
          <w:numId w:val="44"/>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苯≤0.05mg/m³；</w:t>
      </w:r>
    </w:p>
    <w:p>
      <w:pPr>
        <w:pStyle w:val="13"/>
        <w:pageBreakBefore w:val="0"/>
        <w:numPr>
          <w:ilvl w:val="0"/>
          <w:numId w:val="44"/>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甲苯≤0.1mg/m³；</w:t>
      </w:r>
    </w:p>
    <w:p>
      <w:pPr>
        <w:pStyle w:val="13"/>
        <w:pageBreakBefore w:val="0"/>
        <w:numPr>
          <w:ilvl w:val="0"/>
          <w:numId w:val="44"/>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二甲苯≤0.1mg/m³；</w:t>
      </w:r>
    </w:p>
    <w:p>
      <w:pPr>
        <w:pStyle w:val="13"/>
        <w:pageBreakBefore w:val="0"/>
        <w:numPr>
          <w:ilvl w:val="0"/>
          <w:numId w:val="44"/>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TVOC≤0.3mg/m³</w:t>
      </w:r>
      <w:r>
        <w:rPr>
          <w:rFonts w:hint="eastAsia" w:ascii="仿宋" w:hAnsi="仿宋" w:eastAsia="仿宋" w:cs="仿宋"/>
          <w:sz w:val="28"/>
          <w:szCs w:val="28"/>
          <w:lang w:eastAsia="zh-CN"/>
        </w:rPr>
        <w:t>;</w:t>
      </w:r>
    </w:p>
    <w:p>
      <w:pPr>
        <w:pStyle w:val="5"/>
        <w:pageBreakBefore w:val="0"/>
        <w:numPr>
          <w:ilvl w:val="0"/>
          <w:numId w:val="35"/>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诊桌：</w:t>
      </w:r>
    </w:p>
    <w:p>
      <w:pPr>
        <w:pStyle w:val="13"/>
        <w:pageBreakBefore w:val="0"/>
        <w:numPr>
          <w:ilvl w:val="0"/>
          <w:numId w:val="45"/>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符合GB/T 35607-2017《绿色产品评价家具》，符合GB/T 3325-2017《金属家具通用技术条件》；</w:t>
      </w:r>
    </w:p>
    <w:p>
      <w:pPr>
        <w:pStyle w:val="13"/>
        <w:pageBreakBefore w:val="0"/>
        <w:numPr>
          <w:ilvl w:val="0"/>
          <w:numId w:val="45"/>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 xml:space="preserve">平整度≤0.20mm </w:t>
      </w:r>
    </w:p>
    <w:p>
      <w:pPr>
        <w:pStyle w:val="13"/>
        <w:pageBreakBefore w:val="0"/>
        <w:numPr>
          <w:ilvl w:val="0"/>
          <w:numId w:val="45"/>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 xml:space="preserve">着地平稳性≤2.0mm </w:t>
      </w:r>
    </w:p>
    <w:p>
      <w:pPr>
        <w:pStyle w:val="13"/>
        <w:pageBreakBefore w:val="0"/>
        <w:numPr>
          <w:ilvl w:val="0"/>
          <w:numId w:val="45"/>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外观性能要求：金属件检测结果合格，木制件检测结果合格；</w:t>
      </w:r>
    </w:p>
    <w:p>
      <w:pPr>
        <w:pStyle w:val="13"/>
        <w:pageBreakBefore w:val="0"/>
        <w:numPr>
          <w:ilvl w:val="0"/>
          <w:numId w:val="45"/>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结构安全检测结果合格</w:t>
      </w:r>
    </w:p>
    <w:p>
      <w:pPr>
        <w:pStyle w:val="13"/>
        <w:pageBreakBefore w:val="0"/>
        <w:numPr>
          <w:ilvl w:val="0"/>
          <w:numId w:val="45"/>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 xml:space="preserve">硬度≥H </w:t>
      </w:r>
    </w:p>
    <w:p>
      <w:pPr>
        <w:pStyle w:val="13"/>
        <w:pageBreakBefore w:val="0"/>
        <w:numPr>
          <w:ilvl w:val="0"/>
          <w:numId w:val="45"/>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冲击强度检测结果合格</w:t>
      </w:r>
    </w:p>
    <w:p>
      <w:pPr>
        <w:pStyle w:val="13"/>
        <w:pageBreakBefore w:val="0"/>
        <w:numPr>
          <w:ilvl w:val="0"/>
          <w:numId w:val="45"/>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 xml:space="preserve">甲醛释放量≤0.05mg/m³ </w:t>
      </w:r>
    </w:p>
    <w:p>
      <w:pPr>
        <w:pStyle w:val="13"/>
        <w:pageBreakBefore w:val="0"/>
        <w:numPr>
          <w:ilvl w:val="0"/>
          <w:numId w:val="45"/>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 xml:space="preserve">苯≤0.05mg/m³ </w:t>
      </w:r>
    </w:p>
    <w:p>
      <w:pPr>
        <w:pStyle w:val="13"/>
        <w:pageBreakBefore w:val="0"/>
        <w:numPr>
          <w:ilvl w:val="0"/>
          <w:numId w:val="45"/>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 xml:space="preserve">甲苯≤0.1mg/m³ </w:t>
      </w:r>
    </w:p>
    <w:p>
      <w:pPr>
        <w:pStyle w:val="13"/>
        <w:pageBreakBefore w:val="0"/>
        <w:numPr>
          <w:ilvl w:val="0"/>
          <w:numId w:val="45"/>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 xml:space="preserve">二甲苯≤0.1mg/m³ </w:t>
      </w:r>
    </w:p>
    <w:p>
      <w:pPr>
        <w:pStyle w:val="13"/>
        <w:pageBreakBefore w:val="0"/>
        <w:numPr>
          <w:ilvl w:val="0"/>
          <w:numId w:val="45"/>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 xml:space="preserve">TVOC≤0.3mg/m³ </w:t>
      </w:r>
    </w:p>
    <w:p>
      <w:pPr>
        <w:pStyle w:val="13"/>
        <w:pageBreakBefore w:val="0"/>
        <w:kinsoku/>
        <w:wordWrap/>
        <w:overflowPunct/>
        <w:topLinePunct w:val="0"/>
        <w:autoSpaceDE/>
        <w:autoSpaceDN/>
        <w:bidi w:val="0"/>
        <w:snapToGrid/>
        <w:spacing w:line="360" w:lineRule="auto"/>
        <w:rPr>
          <w:rFonts w:hint="eastAsia" w:ascii="仿宋" w:hAnsi="仿宋" w:eastAsia="仿宋" w:cs="仿宋"/>
          <w:sz w:val="28"/>
          <w:szCs w:val="28"/>
        </w:rPr>
      </w:pPr>
      <w:r>
        <w:rPr>
          <w:rFonts w:hint="eastAsia" w:ascii="仿宋" w:hAnsi="仿宋" w:eastAsia="仿宋" w:cs="仿宋"/>
          <w:sz w:val="28"/>
          <w:szCs w:val="28"/>
        </w:rPr>
        <w:t>提供202</w:t>
      </w:r>
      <w:r>
        <w:rPr>
          <w:rFonts w:hint="eastAsia" w:ascii="仿宋" w:hAnsi="仿宋" w:eastAsia="仿宋" w:cs="仿宋"/>
          <w:sz w:val="28"/>
          <w:szCs w:val="28"/>
          <w:lang w:val="en-US" w:eastAsia="zh-CN"/>
        </w:rPr>
        <w:t>3</w:t>
      </w:r>
      <w:r>
        <w:rPr>
          <w:rFonts w:hint="eastAsia" w:ascii="仿宋" w:hAnsi="仿宋" w:eastAsia="仿宋" w:cs="仿宋"/>
          <w:sz w:val="28"/>
          <w:szCs w:val="28"/>
        </w:rPr>
        <w:t>年1月1日以来的第三方检测机构出具的检测报告扫描件，具有CMA或CNAS认证标志，检验报告包括封面及所有检测内容，每一份检测报告的检测内容需全部满足Ⅱ、专项参数（以下对应家具在满足通用参数基础上还需满足专项参数）列出的对应参数要求（检测项所在位置需在投标文件佐证资料中用红框标注），须同时提供检验报告在全国认证认可信息公共服务平台官网（http://cx.cnca.cn</w:t>
      </w:r>
      <w:r>
        <w:rPr>
          <w:rFonts w:hint="eastAsia" w:ascii="仿宋" w:hAnsi="仿宋" w:eastAsia="仿宋" w:cs="仿宋"/>
          <w:sz w:val="28"/>
          <w:szCs w:val="28"/>
          <w:lang w:eastAsia="zh-CN"/>
        </w:rPr>
        <w:t>）</w:t>
      </w:r>
      <w:r>
        <w:rPr>
          <w:rFonts w:hint="eastAsia" w:ascii="仿宋" w:hAnsi="仿宋" w:eastAsia="仿宋" w:cs="仿宋"/>
          <w:sz w:val="28"/>
          <w:szCs w:val="28"/>
        </w:rPr>
        <w:t>或者</w:t>
      </w:r>
      <w:r>
        <w:rPr>
          <w:rFonts w:hint="eastAsia" w:ascii="仿宋" w:hAnsi="仿宋" w:eastAsia="仿宋" w:cs="仿宋"/>
          <w:sz w:val="28"/>
          <w:szCs w:val="28"/>
          <w:lang w:eastAsia="zh-CN"/>
        </w:rPr>
        <w:t>国家认证认可监督管理委员会</w:t>
      </w:r>
      <w:r>
        <w:rPr>
          <w:rFonts w:hint="eastAsia" w:ascii="仿宋" w:hAnsi="仿宋" w:eastAsia="仿宋" w:cs="仿宋"/>
          <w:sz w:val="28"/>
          <w:szCs w:val="28"/>
        </w:rPr>
        <w:t>官网（http://www.cnca.gov.cn</w:t>
      </w:r>
      <w:r>
        <w:rPr>
          <w:rFonts w:hint="eastAsia" w:ascii="仿宋" w:hAnsi="仿宋" w:eastAsia="仿宋" w:cs="仿宋"/>
          <w:sz w:val="28"/>
          <w:szCs w:val="28"/>
          <w:lang w:eastAsia="zh-CN"/>
        </w:rPr>
        <w:t>）</w:t>
      </w:r>
      <w:r>
        <w:rPr>
          <w:rFonts w:hint="eastAsia" w:ascii="仿宋" w:hAnsi="仿宋" w:eastAsia="仿宋" w:cs="仿宋"/>
          <w:sz w:val="28"/>
          <w:szCs w:val="28"/>
        </w:rPr>
        <w:t>的查询结果截图</w:t>
      </w:r>
    </w:p>
    <w:p>
      <w:pPr>
        <w:pStyle w:val="13"/>
        <w:pageBreakBefore w:val="0"/>
        <w:kinsoku/>
        <w:wordWrap/>
        <w:overflowPunct/>
        <w:topLinePunct w:val="0"/>
        <w:autoSpaceDE/>
        <w:autoSpaceDN/>
        <w:bidi w:val="0"/>
        <w:snapToGrid/>
        <w:spacing w:line="360" w:lineRule="auto"/>
        <w:rPr>
          <w:rFonts w:hint="eastAsia" w:ascii="仿宋" w:hAnsi="仿宋" w:eastAsia="仿宋" w:cs="仿宋"/>
          <w:sz w:val="28"/>
          <w:szCs w:val="28"/>
        </w:rPr>
      </w:pPr>
    </w:p>
    <w:p>
      <w:pPr>
        <w:tabs>
          <w:tab w:val="left" w:pos="851"/>
        </w:tabs>
        <w:kinsoku/>
        <w:wordWrap/>
        <w:overflowPunct/>
        <w:topLinePunct w:val="0"/>
        <w:autoSpaceDE w:val="0"/>
        <w:autoSpaceDN w:val="0"/>
        <w:bidi w:val="0"/>
        <w:adjustRightInd w:val="0"/>
        <w:spacing w:line="360" w:lineRule="auto"/>
        <w:ind w:left="0" w:leftChars="0" w:firstLine="0" w:firstLineChars="0"/>
        <w:jc w:val="both"/>
        <w:rPr>
          <w:rFonts w:hint="eastAsia" w:ascii="仿宋" w:hAnsi="仿宋" w:eastAsia="仿宋" w:cs="仿宋"/>
          <w:b w:val="0"/>
          <w:bCs w:val="0"/>
          <w:color w:val="auto"/>
          <w:kern w:val="0"/>
          <w:sz w:val="28"/>
          <w:szCs w:val="28"/>
          <w:highlight w:val="none"/>
          <w:lang w:val="en-US" w:eastAsia="zh-CN"/>
        </w:rPr>
      </w:pPr>
    </w:p>
    <w:p>
      <w:pPr>
        <w:tabs>
          <w:tab w:val="left" w:pos="851"/>
        </w:tabs>
        <w:kinsoku/>
        <w:wordWrap/>
        <w:overflowPunct/>
        <w:topLinePunct w:val="0"/>
        <w:autoSpaceDE w:val="0"/>
        <w:autoSpaceDN w:val="0"/>
        <w:bidi w:val="0"/>
        <w:adjustRightInd w:val="0"/>
        <w:spacing w:line="360" w:lineRule="auto"/>
        <w:ind w:left="0" w:leftChars="0" w:firstLine="0" w:firstLineChars="0"/>
        <w:jc w:val="both"/>
        <w:rPr>
          <w:rFonts w:hint="eastAsia" w:ascii="仿宋" w:hAnsi="仿宋" w:eastAsia="仿宋" w:cs="仿宋"/>
          <w:b w:val="0"/>
          <w:bCs w:val="0"/>
          <w:color w:val="auto"/>
          <w:kern w:val="0"/>
          <w:sz w:val="28"/>
          <w:szCs w:val="28"/>
          <w:highlight w:val="none"/>
          <w:lang w:val="en-US" w:eastAsia="zh-CN"/>
        </w:rPr>
      </w:pPr>
    </w:p>
    <w:p>
      <w:pPr>
        <w:tabs>
          <w:tab w:val="left" w:pos="851"/>
        </w:tabs>
        <w:kinsoku/>
        <w:wordWrap/>
        <w:overflowPunct/>
        <w:topLinePunct w:val="0"/>
        <w:autoSpaceDE w:val="0"/>
        <w:autoSpaceDN w:val="0"/>
        <w:bidi w:val="0"/>
        <w:adjustRightInd w:val="0"/>
        <w:spacing w:line="360" w:lineRule="auto"/>
        <w:ind w:left="0" w:leftChars="0" w:firstLine="0" w:firstLineChars="0"/>
        <w:jc w:val="both"/>
        <w:rPr>
          <w:rFonts w:hint="eastAsia" w:ascii="仿宋" w:hAnsi="仿宋" w:eastAsia="仿宋" w:cs="仿宋"/>
          <w:b w:val="0"/>
          <w:bCs w:val="0"/>
          <w:color w:val="auto"/>
          <w:kern w:val="0"/>
          <w:sz w:val="28"/>
          <w:szCs w:val="28"/>
          <w:highlight w:val="none"/>
          <w:lang w:val="en-US" w:eastAsia="zh-CN"/>
        </w:rPr>
      </w:pPr>
    </w:p>
    <w:p>
      <w:pPr>
        <w:tabs>
          <w:tab w:val="left" w:pos="851"/>
        </w:tabs>
        <w:kinsoku/>
        <w:wordWrap/>
        <w:overflowPunct/>
        <w:topLinePunct w:val="0"/>
        <w:autoSpaceDE w:val="0"/>
        <w:autoSpaceDN w:val="0"/>
        <w:bidi w:val="0"/>
        <w:adjustRightInd w:val="0"/>
        <w:spacing w:line="360" w:lineRule="auto"/>
        <w:ind w:left="0" w:leftChars="0" w:firstLine="0" w:firstLineChars="0"/>
        <w:jc w:val="both"/>
        <w:rPr>
          <w:rFonts w:hint="eastAsia" w:ascii="仿宋" w:hAnsi="仿宋" w:eastAsia="仿宋" w:cs="仿宋"/>
          <w:b w:val="0"/>
          <w:bCs w:val="0"/>
          <w:color w:val="auto"/>
          <w:kern w:val="0"/>
          <w:sz w:val="28"/>
          <w:szCs w:val="28"/>
          <w:highlight w:val="none"/>
          <w:lang w:val="en-US" w:eastAsia="zh-CN"/>
        </w:rPr>
      </w:pPr>
    </w:p>
    <w:p>
      <w:pPr>
        <w:tabs>
          <w:tab w:val="left" w:pos="851"/>
        </w:tabs>
        <w:kinsoku/>
        <w:wordWrap/>
        <w:overflowPunct/>
        <w:topLinePunct w:val="0"/>
        <w:autoSpaceDE w:val="0"/>
        <w:autoSpaceDN w:val="0"/>
        <w:bidi w:val="0"/>
        <w:adjustRightInd w:val="0"/>
        <w:spacing w:line="360" w:lineRule="auto"/>
        <w:ind w:left="0" w:leftChars="0" w:firstLine="0" w:firstLineChars="0"/>
        <w:jc w:val="both"/>
        <w:rPr>
          <w:rFonts w:hint="default" w:ascii="仿宋" w:hAnsi="仿宋" w:eastAsia="仿宋" w:cs="仿宋"/>
          <w:b/>
          <w:bCs/>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lang w:val="en-US" w:eastAsia="zh-CN"/>
        </w:rPr>
        <w:t>附件1</w:t>
      </w:r>
    </w:p>
    <w:p>
      <w:pPr>
        <w:widowControl w:val="0"/>
        <w:numPr>
          <w:ilvl w:val="0"/>
          <w:numId w:val="0"/>
        </w:numPr>
        <w:autoSpaceDE w:val="0"/>
        <w:autoSpaceDN w:val="0"/>
        <w:adjustRightInd w:val="0"/>
        <w:spacing w:line="360" w:lineRule="auto"/>
        <w:ind w:left="321" w:leftChars="0" w:right="-26"/>
        <w:jc w:val="center"/>
        <w:rPr>
          <w:rFonts w:hint="default" w:ascii="仿宋" w:hAnsi="仿宋" w:eastAsia="仿宋" w:cs="仿宋"/>
          <w:b w:val="0"/>
          <w:bCs/>
          <w:color w:val="auto"/>
          <w:kern w:val="2"/>
          <w:sz w:val="28"/>
          <w:szCs w:val="28"/>
          <w:highlight w:val="none"/>
          <w:lang w:val="en-US" w:eastAsia="zh-CN" w:bidi="ar-SA"/>
        </w:rPr>
      </w:pPr>
      <w:r>
        <w:rPr>
          <w:rFonts w:hint="default" w:ascii="仿宋" w:hAnsi="仿宋" w:eastAsia="仿宋" w:cs="仿宋"/>
          <w:b w:val="0"/>
          <w:bCs/>
          <w:color w:val="auto"/>
          <w:kern w:val="2"/>
          <w:sz w:val="28"/>
          <w:szCs w:val="28"/>
          <w:highlight w:val="none"/>
          <w:lang w:val="en-US" w:eastAsia="zh-CN" w:bidi="ar-SA"/>
        </w:rPr>
        <w:t>报价</w:t>
      </w:r>
      <w:r>
        <w:rPr>
          <w:rFonts w:hint="eastAsia" w:ascii="仿宋" w:hAnsi="仿宋" w:eastAsia="仿宋" w:cs="仿宋"/>
          <w:b w:val="0"/>
          <w:bCs/>
          <w:color w:val="auto"/>
          <w:kern w:val="2"/>
          <w:sz w:val="28"/>
          <w:szCs w:val="28"/>
          <w:highlight w:val="none"/>
          <w:lang w:val="en-US" w:eastAsia="zh-CN" w:bidi="ar-SA"/>
        </w:rPr>
        <w:t>文件</w:t>
      </w:r>
    </w:p>
    <w:p>
      <w:pPr>
        <w:autoSpaceDE w:val="0"/>
        <w:autoSpaceDN w:val="0"/>
        <w:adjustRightInd w:val="0"/>
        <w:spacing w:line="360" w:lineRule="auto"/>
        <w:ind w:firstLine="0" w:firstLineChars="0"/>
        <w:jc w:val="left"/>
        <w:rPr>
          <w:rFonts w:hint="eastAsia" w:ascii="仿宋" w:hAnsi="仿宋" w:eastAsia="仿宋" w:cs="仿宋"/>
          <w:bCs/>
          <w:snapToGrid w:val="0"/>
          <w:kern w:val="0"/>
          <w:sz w:val="28"/>
          <w:szCs w:val="28"/>
          <w:u w:val="none"/>
          <w:lang w:val="en-US" w:eastAsia="zh-CN"/>
        </w:rPr>
      </w:pPr>
      <w:r>
        <w:rPr>
          <w:rFonts w:hint="eastAsia" w:ascii="仿宋" w:hAnsi="仿宋" w:eastAsia="仿宋" w:cs="仿宋"/>
          <w:bCs/>
          <w:snapToGrid w:val="0"/>
          <w:kern w:val="0"/>
          <w:sz w:val="28"/>
          <w:szCs w:val="28"/>
        </w:rPr>
        <w:t>项目名称：</w:t>
      </w:r>
      <w:r>
        <w:rPr>
          <w:rFonts w:hint="eastAsia" w:ascii="仿宋" w:hAnsi="仿宋" w:eastAsia="仿宋" w:cs="仿宋"/>
          <w:b w:val="0"/>
          <w:bCs/>
          <w:snapToGrid w:val="0"/>
          <w:color w:val="auto"/>
          <w:kern w:val="0"/>
          <w:sz w:val="28"/>
          <w:szCs w:val="28"/>
          <w:highlight w:val="none"/>
          <w:lang w:val="en-US" w:eastAsia="zh-CN"/>
        </w:rPr>
        <w:t>广州医科大学附属中医医院2026年办公家具采购项目</w:t>
      </w:r>
    </w:p>
    <w:p>
      <w:pPr>
        <w:autoSpaceDE w:val="0"/>
        <w:autoSpaceDN w:val="0"/>
        <w:adjustRightInd w:val="0"/>
        <w:spacing w:line="360" w:lineRule="auto"/>
        <w:ind w:right="420" w:firstLine="0" w:firstLineChars="0"/>
        <w:jc w:val="left"/>
        <w:rPr>
          <w:rFonts w:hint="eastAsia" w:ascii="仿宋" w:hAnsi="仿宋" w:eastAsia="仿宋" w:cs="仿宋"/>
          <w:bCs/>
          <w:snapToGrid w:val="0"/>
          <w:kern w:val="0"/>
          <w:sz w:val="28"/>
          <w:szCs w:val="28"/>
        </w:rPr>
      </w:pPr>
      <w:r>
        <w:rPr>
          <w:rFonts w:hint="eastAsia" w:ascii="仿宋" w:hAnsi="仿宋" w:eastAsia="仿宋" w:cs="仿宋"/>
          <w:bCs/>
          <w:snapToGrid w:val="0"/>
          <w:kern w:val="0"/>
          <w:sz w:val="28"/>
          <w:szCs w:val="28"/>
        </w:rPr>
        <w:t>投标价格货币：人民币/元</w:t>
      </w:r>
    </w:p>
    <w:tbl>
      <w:tblPr>
        <w:tblStyle w:val="21"/>
        <w:tblW w:w="499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437"/>
        <w:gridCol w:w="1404"/>
        <w:gridCol w:w="36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atLeast"/>
        </w:trPr>
        <w:tc>
          <w:tcPr>
            <w:tcW w:w="3893"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firstLine="0" w:firstLineChars="0"/>
              <w:jc w:val="center"/>
              <w:rPr>
                <w:rFonts w:hint="eastAsia" w:ascii="仿宋" w:hAnsi="仿宋" w:eastAsia="仿宋" w:cs="仿宋"/>
                <w:b/>
                <w:kern w:val="2"/>
                <w:sz w:val="28"/>
                <w:szCs w:val="28"/>
              </w:rPr>
            </w:pPr>
            <w:r>
              <w:rPr>
                <w:rFonts w:hint="eastAsia" w:ascii="仿宋" w:hAnsi="仿宋" w:eastAsia="仿宋" w:cs="仿宋"/>
                <w:b/>
                <w:kern w:val="2"/>
                <w:sz w:val="28"/>
                <w:szCs w:val="28"/>
              </w:rPr>
              <w:t>项目内容</w:t>
            </w:r>
          </w:p>
        </w:tc>
        <w:tc>
          <w:tcPr>
            <w:tcW w:w="1559"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firstLine="0" w:firstLineChars="0"/>
              <w:jc w:val="center"/>
              <w:rPr>
                <w:rFonts w:hint="eastAsia" w:ascii="仿宋" w:hAnsi="仿宋" w:eastAsia="仿宋" w:cs="仿宋"/>
                <w:b/>
                <w:kern w:val="2"/>
                <w:sz w:val="28"/>
                <w:szCs w:val="28"/>
              </w:rPr>
            </w:pPr>
            <w:r>
              <w:rPr>
                <w:rFonts w:hint="eastAsia" w:ascii="仿宋" w:hAnsi="仿宋" w:eastAsia="仿宋" w:cs="仿宋"/>
                <w:b/>
                <w:kern w:val="2"/>
                <w:sz w:val="28"/>
                <w:szCs w:val="28"/>
              </w:rPr>
              <w:t>数量</w:t>
            </w:r>
          </w:p>
        </w:tc>
        <w:tc>
          <w:tcPr>
            <w:tcW w:w="2159" w:type="pct"/>
            <w:noWrap w:val="0"/>
            <w:vAlign w:val="center"/>
          </w:tcPr>
          <w:p>
            <w:pPr>
              <w:keepNext w:val="0"/>
              <w:keepLines w:val="0"/>
              <w:suppressLineNumbers w:val="0"/>
              <w:autoSpaceDE w:val="0"/>
              <w:autoSpaceDN w:val="0"/>
              <w:adjustRightInd w:val="0"/>
              <w:spacing w:before="0" w:beforeAutospacing="0" w:after="0" w:afterAutospacing="0" w:line="360" w:lineRule="auto"/>
              <w:ind w:left="0" w:right="0" w:firstLine="0" w:firstLineChars="0"/>
              <w:jc w:val="center"/>
              <w:rPr>
                <w:rFonts w:hint="eastAsia" w:ascii="仿宋" w:hAnsi="仿宋" w:eastAsia="仿宋" w:cs="仿宋"/>
                <w:b/>
                <w:kern w:val="2"/>
                <w:sz w:val="28"/>
                <w:szCs w:val="28"/>
                <w:lang w:val="en-US" w:eastAsia="zh-CN"/>
              </w:rPr>
            </w:pPr>
            <w:r>
              <w:rPr>
                <w:rFonts w:hint="eastAsia" w:ascii="仿宋" w:hAnsi="仿宋" w:eastAsia="仿宋" w:cs="仿宋"/>
                <w:b/>
                <w:kern w:val="2"/>
                <w:sz w:val="28"/>
                <w:szCs w:val="28"/>
                <w:lang w:val="en-US" w:eastAsia="zh-CN"/>
              </w:rPr>
              <w:t xml:space="preserve">统一下浮率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4" w:hRule="atLeast"/>
        </w:trPr>
        <w:tc>
          <w:tcPr>
            <w:tcW w:w="3893"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firstLine="0" w:firstLineChars="0"/>
              <w:jc w:val="center"/>
              <w:rPr>
                <w:rFonts w:hint="eastAsia" w:ascii="仿宋" w:hAnsi="仿宋" w:eastAsia="仿宋" w:cs="仿宋"/>
                <w:kern w:val="2"/>
                <w:sz w:val="28"/>
                <w:szCs w:val="28"/>
              </w:rPr>
            </w:pPr>
            <w:r>
              <w:rPr>
                <w:rFonts w:hint="eastAsia" w:ascii="仿宋" w:hAnsi="仿宋" w:eastAsia="仿宋" w:cs="仿宋"/>
                <w:b w:val="0"/>
                <w:bCs/>
                <w:snapToGrid w:val="0"/>
                <w:color w:val="auto"/>
                <w:kern w:val="0"/>
                <w:sz w:val="28"/>
                <w:szCs w:val="28"/>
                <w:highlight w:val="none"/>
                <w:lang w:val="en-US" w:eastAsia="zh-CN"/>
              </w:rPr>
              <w:t>2026年办公家具采购项目</w:t>
            </w:r>
          </w:p>
        </w:tc>
        <w:tc>
          <w:tcPr>
            <w:tcW w:w="1559"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firstLine="0" w:firstLineChars="0"/>
              <w:jc w:val="center"/>
              <w:rPr>
                <w:rFonts w:hint="eastAsia" w:ascii="仿宋" w:hAnsi="仿宋" w:eastAsia="仿宋" w:cs="仿宋"/>
                <w:kern w:val="2"/>
                <w:sz w:val="28"/>
                <w:szCs w:val="28"/>
              </w:rPr>
            </w:pPr>
            <w:r>
              <w:rPr>
                <w:rFonts w:hint="eastAsia" w:ascii="仿宋" w:hAnsi="仿宋" w:eastAsia="仿宋" w:cs="仿宋"/>
                <w:kern w:val="2"/>
                <w:sz w:val="28"/>
                <w:szCs w:val="28"/>
              </w:rPr>
              <w:t>1批</w:t>
            </w:r>
          </w:p>
        </w:tc>
        <w:tc>
          <w:tcPr>
            <w:tcW w:w="2159" w:type="pct"/>
            <w:noWrap w:val="0"/>
            <w:vAlign w:val="center"/>
          </w:tcPr>
          <w:p>
            <w:pPr>
              <w:keepNext w:val="0"/>
              <w:keepLines w:val="0"/>
              <w:suppressLineNumbers w:val="0"/>
              <w:tabs>
                <w:tab w:val="left" w:pos="360"/>
              </w:tabs>
              <w:autoSpaceDE w:val="0"/>
              <w:autoSpaceDN w:val="0"/>
              <w:adjustRightInd w:val="0"/>
              <w:spacing w:before="0" w:beforeAutospacing="0" w:after="0" w:afterAutospacing="0" w:line="360" w:lineRule="auto"/>
              <w:ind w:left="0" w:right="0" w:firstLine="0" w:firstLineChars="0"/>
              <w:jc w:val="center"/>
              <w:rPr>
                <w:rFonts w:hint="eastAsia" w:ascii="仿宋" w:hAnsi="仿宋" w:eastAsia="仿宋" w:cs="仿宋"/>
                <w:kern w:val="2"/>
                <w:sz w:val="28"/>
                <w:szCs w:val="28"/>
              </w:rPr>
            </w:pPr>
          </w:p>
        </w:tc>
      </w:tr>
    </w:tbl>
    <w:p>
      <w:pPr>
        <w:autoSpaceDE w:val="0"/>
        <w:autoSpaceDN w:val="0"/>
        <w:adjustRightInd w:val="0"/>
        <w:snapToGrid w:val="0"/>
        <w:spacing w:line="360" w:lineRule="auto"/>
        <w:ind w:firstLine="0" w:firstLineChars="0"/>
        <w:jc w:val="left"/>
        <w:rPr>
          <w:rFonts w:hint="eastAsia" w:ascii="仿宋" w:hAnsi="仿宋" w:eastAsia="仿宋" w:cs="仿宋"/>
          <w:kern w:val="0"/>
          <w:sz w:val="28"/>
          <w:szCs w:val="28"/>
        </w:rPr>
      </w:pPr>
    </w:p>
    <w:p>
      <w:pPr>
        <w:autoSpaceDE w:val="0"/>
        <w:autoSpaceDN w:val="0"/>
        <w:adjustRightInd w:val="0"/>
        <w:snapToGrid w:val="0"/>
        <w:spacing w:line="360" w:lineRule="auto"/>
        <w:ind w:firstLine="0" w:firstLineChars="0"/>
        <w:jc w:val="left"/>
        <w:rPr>
          <w:rFonts w:hint="eastAsia" w:ascii="仿宋" w:hAnsi="仿宋" w:eastAsia="仿宋" w:cs="仿宋"/>
          <w:kern w:val="0"/>
          <w:sz w:val="28"/>
          <w:szCs w:val="28"/>
        </w:rPr>
      </w:pPr>
    </w:p>
    <w:p>
      <w:pPr>
        <w:autoSpaceDE w:val="0"/>
        <w:autoSpaceDN w:val="0"/>
        <w:adjustRightInd w:val="0"/>
        <w:snapToGrid w:val="0"/>
        <w:spacing w:line="360" w:lineRule="auto"/>
        <w:ind w:firstLine="0" w:firstLineChars="0"/>
        <w:jc w:val="left"/>
        <w:rPr>
          <w:rFonts w:hint="eastAsia" w:ascii="仿宋" w:hAnsi="仿宋" w:eastAsia="仿宋" w:cs="仿宋"/>
          <w:kern w:val="0"/>
          <w:sz w:val="28"/>
          <w:szCs w:val="28"/>
          <w:u w:val="single"/>
        </w:rPr>
      </w:pPr>
      <w:r>
        <w:rPr>
          <w:rFonts w:hint="eastAsia" w:ascii="仿宋" w:hAnsi="仿宋" w:eastAsia="仿宋" w:cs="仿宋"/>
          <w:kern w:val="0"/>
          <w:sz w:val="28"/>
          <w:szCs w:val="28"/>
          <w:lang w:val="en-US" w:eastAsia="zh-CN"/>
        </w:rPr>
        <w:t>供应商</w:t>
      </w:r>
      <w:r>
        <w:rPr>
          <w:rFonts w:hint="eastAsia" w:ascii="仿宋" w:hAnsi="仿宋" w:eastAsia="仿宋" w:cs="仿宋"/>
          <w:kern w:val="0"/>
          <w:sz w:val="28"/>
          <w:szCs w:val="28"/>
        </w:rPr>
        <w:t>名称（签章）：</w:t>
      </w:r>
      <w:r>
        <w:rPr>
          <w:rFonts w:hint="eastAsia" w:ascii="仿宋" w:hAnsi="仿宋" w:eastAsia="仿宋" w:cs="仿宋"/>
          <w:kern w:val="0"/>
          <w:sz w:val="28"/>
          <w:szCs w:val="28"/>
          <w:u w:val="single"/>
        </w:rPr>
        <w:t xml:space="preserve">            </w:t>
      </w:r>
    </w:p>
    <w:p>
      <w:pPr>
        <w:autoSpaceDE w:val="0"/>
        <w:autoSpaceDN w:val="0"/>
        <w:adjustRightInd w:val="0"/>
        <w:snapToGrid w:val="0"/>
        <w:spacing w:line="360" w:lineRule="auto"/>
        <w:ind w:firstLine="0" w:firstLineChars="0"/>
        <w:jc w:val="left"/>
        <w:rPr>
          <w:rFonts w:hint="eastAsia" w:ascii="仿宋" w:hAnsi="仿宋" w:eastAsia="仿宋" w:cs="仿宋"/>
          <w:kern w:val="0"/>
          <w:sz w:val="28"/>
          <w:szCs w:val="28"/>
        </w:rPr>
      </w:pPr>
      <w:r>
        <w:rPr>
          <w:rFonts w:hint="eastAsia" w:ascii="仿宋" w:hAnsi="仿宋" w:eastAsia="仿宋" w:cs="仿宋"/>
          <w:kern w:val="0"/>
          <w:sz w:val="28"/>
          <w:szCs w:val="28"/>
        </w:rPr>
        <w:t>日  期：</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年</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月</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日</w:t>
      </w:r>
    </w:p>
    <w:p>
      <w:pPr>
        <w:tabs>
          <w:tab w:val="left" w:pos="851"/>
        </w:tabs>
        <w:kinsoku/>
        <w:wordWrap/>
        <w:overflowPunct/>
        <w:topLinePunct w:val="0"/>
        <w:autoSpaceDE w:val="0"/>
        <w:autoSpaceDN w:val="0"/>
        <w:bidi w:val="0"/>
        <w:adjustRightInd w:val="0"/>
        <w:spacing w:line="360" w:lineRule="auto"/>
        <w:ind w:left="0" w:leftChars="0" w:firstLine="0" w:firstLineChars="0"/>
        <w:jc w:val="both"/>
        <w:rPr>
          <w:rFonts w:hint="eastAsia" w:ascii="仿宋" w:hAnsi="仿宋" w:eastAsia="仿宋" w:cs="仿宋"/>
          <w:b/>
          <w:bCs/>
          <w:color w:val="auto"/>
          <w:kern w:val="0"/>
          <w:sz w:val="28"/>
          <w:szCs w:val="28"/>
          <w:highlight w:val="none"/>
          <w:lang w:val="zh-CN"/>
        </w:rPr>
      </w:pPr>
      <w:bookmarkStart w:id="0" w:name="_GoBack"/>
      <w:bookmarkEnd w:id="0"/>
    </w:p>
    <w:p>
      <w:pPr>
        <w:tabs>
          <w:tab w:val="left" w:pos="851"/>
        </w:tabs>
        <w:kinsoku/>
        <w:wordWrap/>
        <w:overflowPunct/>
        <w:topLinePunct w:val="0"/>
        <w:autoSpaceDE w:val="0"/>
        <w:autoSpaceDN w:val="0"/>
        <w:bidi w:val="0"/>
        <w:adjustRightInd w:val="0"/>
        <w:spacing w:line="360" w:lineRule="auto"/>
        <w:ind w:left="428" w:leftChars="153" w:firstLine="0" w:firstLineChars="0"/>
        <w:jc w:val="right"/>
        <w:rPr>
          <w:rFonts w:hint="eastAsia" w:ascii="仿宋" w:hAnsi="仿宋" w:eastAsia="仿宋" w:cs="仿宋"/>
          <w:b/>
          <w:bCs/>
          <w:color w:val="auto"/>
          <w:kern w:val="0"/>
          <w:sz w:val="28"/>
          <w:szCs w:val="28"/>
          <w:highlight w:val="none"/>
          <w:lang w:val="zh-CN"/>
        </w:rPr>
      </w:pPr>
    </w:p>
    <w:p>
      <w:pPr>
        <w:tabs>
          <w:tab w:val="left" w:pos="851"/>
        </w:tabs>
        <w:kinsoku/>
        <w:wordWrap/>
        <w:overflowPunct/>
        <w:topLinePunct w:val="0"/>
        <w:autoSpaceDE w:val="0"/>
        <w:autoSpaceDN w:val="0"/>
        <w:bidi w:val="0"/>
        <w:adjustRightInd w:val="0"/>
        <w:spacing w:line="360" w:lineRule="auto"/>
        <w:ind w:left="428" w:leftChars="153" w:firstLine="0" w:firstLineChars="0"/>
        <w:jc w:val="right"/>
        <w:rPr>
          <w:rFonts w:hint="eastAsia" w:ascii="仿宋" w:hAnsi="仿宋" w:eastAsia="仿宋" w:cs="仿宋"/>
          <w:b/>
          <w:bCs/>
          <w:color w:val="auto"/>
          <w:kern w:val="0"/>
          <w:sz w:val="28"/>
          <w:szCs w:val="28"/>
          <w:highlight w:val="none"/>
          <w:lang w:val="zh-CN"/>
        </w:rPr>
      </w:pPr>
    </w:p>
    <w:p>
      <w:pPr>
        <w:tabs>
          <w:tab w:val="left" w:pos="851"/>
        </w:tabs>
        <w:kinsoku/>
        <w:wordWrap/>
        <w:overflowPunct/>
        <w:topLinePunct w:val="0"/>
        <w:autoSpaceDE w:val="0"/>
        <w:autoSpaceDN w:val="0"/>
        <w:bidi w:val="0"/>
        <w:adjustRightInd w:val="0"/>
        <w:spacing w:line="360" w:lineRule="auto"/>
        <w:ind w:firstLine="0" w:firstLineChars="0"/>
        <w:jc w:val="both"/>
        <w:rPr>
          <w:rFonts w:hint="eastAsia" w:ascii="仿宋" w:hAnsi="仿宋" w:eastAsia="仿宋" w:cs="仿宋"/>
          <w:kern w:val="0"/>
          <w:sz w:val="28"/>
          <w:szCs w:val="28"/>
        </w:rPr>
      </w:pPr>
    </w:p>
    <w:p>
      <w:pPr>
        <w:tabs>
          <w:tab w:val="left" w:pos="851"/>
        </w:tabs>
        <w:kinsoku/>
        <w:wordWrap/>
        <w:overflowPunct/>
        <w:topLinePunct w:val="0"/>
        <w:autoSpaceDE w:val="0"/>
        <w:autoSpaceDN w:val="0"/>
        <w:bidi w:val="0"/>
        <w:adjustRightInd w:val="0"/>
        <w:spacing w:line="360" w:lineRule="auto"/>
        <w:ind w:firstLine="0" w:firstLineChars="0"/>
        <w:jc w:val="both"/>
        <w:rPr>
          <w:rFonts w:hint="eastAsia" w:ascii="仿宋" w:hAnsi="仿宋" w:eastAsia="仿宋" w:cs="仿宋"/>
          <w:kern w:val="0"/>
          <w:sz w:val="28"/>
          <w:szCs w:val="28"/>
        </w:rPr>
      </w:pPr>
    </w:p>
    <w:p>
      <w:pPr>
        <w:tabs>
          <w:tab w:val="left" w:pos="851"/>
        </w:tabs>
        <w:kinsoku/>
        <w:wordWrap/>
        <w:overflowPunct/>
        <w:topLinePunct w:val="0"/>
        <w:autoSpaceDE w:val="0"/>
        <w:autoSpaceDN w:val="0"/>
        <w:bidi w:val="0"/>
        <w:adjustRightInd w:val="0"/>
        <w:spacing w:line="360" w:lineRule="auto"/>
        <w:ind w:firstLine="0" w:firstLineChars="0"/>
        <w:jc w:val="both"/>
        <w:rPr>
          <w:rFonts w:hint="eastAsia" w:ascii="仿宋" w:hAnsi="仿宋" w:eastAsia="仿宋" w:cs="仿宋"/>
          <w:kern w:val="0"/>
          <w:sz w:val="28"/>
          <w:szCs w:val="28"/>
        </w:rPr>
      </w:pPr>
    </w:p>
    <w:p>
      <w:pPr>
        <w:tabs>
          <w:tab w:val="left" w:pos="851"/>
        </w:tabs>
        <w:kinsoku/>
        <w:wordWrap/>
        <w:overflowPunct/>
        <w:topLinePunct w:val="0"/>
        <w:autoSpaceDE w:val="0"/>
        <w:autoSpaceDN w:val="0"/>
        <w:bidi w:val="0"/>
        <w:adjustRightInd w:val="0"/>
        <w:spacing w:line="360" w:lineRule="auto"/>
        <w:ind w:firstLine="0" w:firstLineChars="0"/>
        <w:jc w:val="both"/>
        <w:rPr>
          <w:rFonts w:hint="eastAsia" w:ascii="仿宋" w:hAnsi="仿宋" w:eastAsia="仿宋" w:cs="仿宋"/>
          <w:kern w:val="0"/>
          <w:sz w:val="28"/>
          <w:szCs w:val="28"/>
        </w:rPr>
      </w:pPr>
    </w:p>
    <w:p>
      <w:pPr>
        <w:tabs>
          <w:tab w:val="left" w:pos="851"/>
        </w:tabs>
        <w:kinsoku/>
        <w:wordWrap/>
        <w:overflowPunct/>
        <w:topLinePunct w:val="0"/>
        <w:autoSpaceDE w:val="0"/>
        <w:autoSpaceDN w:val="0"/>
        <w:bidi w:val="0"/>
        <w:adjustRightInd w:val="0"/>
        <w:spacing w:line="360" w:lineRule="auto"/>
        <w:ind w:firstLine="0" w:firstLineChars="0"/>
        <w:jc w:val="both"/>
        <w:rPr>
          <w:rFonts w:hint="eastAsia" w:ascii="仿宋" w:hAnsi="仿宋" w:eastAsia="仿宋" w:cs="仿宋"/>
          <w:kern w:val="0"/>
          <w:sz w:val="28"/>
          <w:szCs w:val="28"/>
        </w:rPr>
      </w:pPr>
    </w:p>
    <w:p>
      <w:pPr>
        <w:tabs>
          <w:tab w:val="left" w:pos="851"/>
        </w:tabs>
        <w:kinsoku/>
        <w:wordWrap/>
        <w:overflowPunct/>
        <w:topLinePunct w:val="0"/>
        <w:autoSpaceDE w:val="0"/>
        <w:autoSpaceDN w:val="0"/>
        <w:bidi w:val="0"/>
        <w:adjustRightInd w:val="0"/>
        <w:spacing w:line="360" w:lineRule="auto"/>
        <w:ind w:firstLine="0" w:firstLineChars="0"/>
        <w:jc w:val="both"/>
        <w:rPr>
          <w:rFonts w:hint="eastAsia" w:ascii="仿宋" w:hAnsi="仿宋" w:eastAsia="仿宋" w:cs="仿宋"/>
          <w:kern w:val="0"/>
          <w:sz w:val="28"/>
          <w:szCs w:val="28"/>
        </w:rPr>
      </w:pPr>
    </w:p>
    <w:p>
      <w:pPr>
        <w:tabs>
          <w:tab w:val="left" w:pos="851"/>
        </w:tabs>
        <w:kinsoku/>
        <w:wordWrap/>
        <w:overflowPunct/>
        <w:topLinePunct w:val="0"/>
        <w:autoSpaceDE w:val="0"/>
        <w:autoSpaceDN w:val="0"/>
        <w:bidi w:val="0"/>
        <w:adjustRightInd w:val="0"/>
        <w:spacing w:line="360" w:lineRule="auto"/>
        <w:ind w:firstLine="0" w:firstLineChars="0"/>
        <w:jc w:val="both"/>
        <w:rPr>
          <w:rFonts w:hint="eastAsia" w:ascii="仿宋" w:hAnsi="仿宋" w:eastAsia="仿宋" w:cs="仿宋"/>
          <w:kern w:val="0"/>
          <w:sz w:val="28"/>
          <w:szCs w:val="28"/>
        </w:rPr>
      </w:pPr>
    </w:p>
    <w:p>
      <w:pPr>
        <w:tabs>
          <w:tab w:val="left" w:pos="851"/>
        </w:tabs>
        <w:kinsoku/>
        <w:wordWrap/>
        <w:overflowPunct/>
        <w:topLinePunct w:val="0"/>
        <w:autoSpaceDE w:val="0"/>
        <w:autoSpaceDN w:val="0"/>
        <w:bidi w:val="0"/>
        <w:adjustRightInd w:val="0"/>
        <w:spacing w:line="360" w:lineRule="auto"/>
        <w:ind w:firstLine="0" w:firstLineChars="0"/>
        <w:jc w:val="both"/>
        <w:rPr>
          <w:rFonts w:hint="eastAsia" w:ascii="仿宋" w:hAnsi="仿宋" w:eastAsia="仿宋" w:cs="仿宋"/>
          <w:kern w:val="0"/>
          <w:sz w:val="28"/>
          <w:szCs w:val="28"/>
        </w:rPr>
      </w:pPr>
    </w:p>
    <w:p>
      <w:pPr>
        <w:tabs>
          <w:tab w:val="left" w:pos="851"/>
        </w:tabs>
        <w:kinsoku/>
        <w:wordWrap/>
        <w:overflowPunct/>
        <w:topLinePunct w:val="0"/>
        <w:autoSpaceDE w:val="0"/>
        <w:autoSpaceDN w:val="0"/>
        <w:bidi w:val="0"/>
        <w:adjustRightInd w:val="0"/>
        <w:spacing w:line="360" w:lineRule="auto"/>
        <w:ind w:firstLine="0" w:firstLineChars="0"/>
        <w:jc w:val="both"/>
        <w:rPr>
          <w:rFonts w:hint="eastAsia" w:ascii="仿宋" w:hAnsi="仿宋" w:eastAsia="仿宋" w:cs="仿宋"/>
          <w:kern w:val="0"/>
          <w:sz w:val="28"/>
          <w:szCs w:val="28"/>
        </w:rPr>
      </w:pPr>
    </w:p>
    <w:p>
      <w:pPr>
        <w:tabs>
          <w:tab w:val="left" w:pos="851"/>
        </w:tabs>
        <w:kinsoku/>
        <w:wordWrap/>
        <w:overflowPunct/>
        <w:topLinePunct w:val="0"/>
        <w:autoSpaceDE w:val="0"/>
        <w:autoSpaceDN w:val="0"/>
        <w:bidi w:val="0"/>
        <w:adjustRightInd w:val="0"/>
        <w:spacing w:line="360" w:lineRule="auto"/>
        <w:ind w:firstLine="0" w:firstLineChars="0"/>
        <w:jc w:val="both"/>
        <w:rPr>
          <w:rFonts w:hint="eastAsia" w:ascii="仿宋" w:hAnsi="仿宋" w:eastAsia="仿宋" w:cs="仿宋"/>
          <w:kern w:val="0"/>
          <w:sz w:val="28"/>
          <w:szCs w:val="28"/>
        </w:rPr>
      </w:pPr>
    </w:p>
    <w:p>
      <w:pPr>
        <w:tabs>
          <w:tab w:val="left" w:pos="851"/>
        </w:tabs>
        <w:kinsoku/>
        <w:wordWrap/>
        <w:overflowPunct/>
        <w:topLinePunct w:val="0"/>
        <w:autoSpaceDE w:val="0"/>
        <w:autoSpaceDN w:val="0"/>
        <w:bidi w:val="0"/>
        <w:adjustRightInd w:val="0"/>
        <w:spacing w:line="360" w:lineRule="auto"/>
        <w:ind w:firstLine="0" w:firstLineChars="0"/>
        <w:jc w:val="both"/>
        <w:rPr>
          <w:rFonts w:hint="eastAsia" w:ascii="仿宋" w:hAnsi="仿宋" w:eastAsia="仿宋" w:cs="仿宋"/>
          <w:kern w:val="0"/>
          <w:sz w:val="28"/>
          <w:szCs w:val="28"/>
        </w:rPr>
      </w:pPr>
    </w:p>
    <w:p>
      <w:pPr>
        <w:keepNext w:val="0"/>
        <w:keepLines w:val="0"/>
        <w:pageBreakBefore w:val="0"/>
        <w:kinsoku/>
        <w:wordWrap/>
        <w:overflowPunct/>
        <w:topLinePunct w:val="0"/>
        <w:autoSpaceDE/>
        <w:autoSpaceDN/>
        <w:bidi w:val="0"/>
        <w:adjustRightInd w:val="0"/>
        <w:spacing w:line="360" w:lineRule="auto"/>
        <w:ind w:firstLine="0" w:firstLineChars="0"/>
        <w:jc w:val="left"/>
        <w:rPr>
          <w:rFonts w:hint="eastAsia" w:ascii="仿宋" w:hAnsi="仿宋" w:eastAsia="仿宋" w:cs="仿宋"/>
          <w:b/>
          <w:color w:val="auto"/>
          <w:kern w:val="0"/>
          <w:sz w:val="30"/>
          <w:szCs w:val="30"/>
        </w:rPr>
      </w:pPr>
    </w:p>
    <w:p>
      <w:pPr>
        <w:pStyle w:val="13"/>
        <w:pageBreakBefore w:val="0"/>
        <w:kinsoku/>
        <w:wordWrap/>
        <w:overflowPunct/>
        <w:topLinePunct w:val="0"/>
        <w:autoSpaceDE/>
        <w:autoSpaceDN/>
        <w:bidi w:val="0"/>
        <w:snapToGrid/>
        <w:spacing w:line="360" w:lineRule="auto"/>
        <w:rPr>
          <w:rFonts w:hint="eastAsia" w:ascii="仿宋" w:hAnsi="仿宋" w:eastAsia="仿宋" w:cs="仿宋"/>
          <w:sz w:val="28"/>
          <w:szCs w:val="28"/>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r>
      <w:rPr>
        <w:lang w:val="zh-CN"/>
      </w:rPr>
      <w:fldChar w:fldCharType="begin"/>
    </w:r>
    <w:r>
      <w:rPr>
        <w:lang w:val="zh-CN"/>
      </w:rPr>
      <w:instrText xml:space="preserve"> PAGE   \* MERGEFORMAT </w:instrText>
    </w:r>
    <w:r>
      <w:rPr>
        <w:lang w:val="zh-CN"/>
      </w:rPr>
      <w:fldChar w:fldCharType="separate"/>
    </w:r>
    <w:r>
      <w:rPr>
        <w:lang w:val="zh-CN"/>
      </w:rPr>
      <w:t>40</w:t>
    </w:r>
    <w:r>
      <w:rPr>
        <w:lang w:val="zh-CN"/>
      </w:rPr>
      <w:fldChar w:fldCharType="end"/>
    </w:r>
  </w:p>
  <w:p>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r>
      <w:rPr>
        <w:lang w:val="zh-CN"/>
      </w:rPr>
      <w:fldChar w:fldCharType="begin"/>
    </w:r>
    <w:r>
      <w:rPr>
        <w:lang w:val="zh-CN"/>
      </w:rPr>
      <w:instrText xml:space="preserve"> PAGE   \* MERGEFORMAT </w:instrText>
    </w:r>
    <w:r>
      <w:rPr>
        <w:lang w:val="zh-CN"/>
      </w:rPr>
      <w:fldChar w:fldCharType="separate"/>
    </w:r>
    <w:r>
      <w:rPr>
        <w:lang w:val="zh-CN"/>
      </w:rPr>
      <w:t>40</w:t>
    </w:r>
    <w:r>
      <w:rPr>
        <w:lang w:val="zh-CN"/>
      </w:rPr>
      <w:fldChar w:fldCharType="end"/>
    </w:r>
  </w:p>
  <w:p>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DD56C"/>
    <w:multiLevelType w:val="singleLevel"/>
    <w:tmpl w:val="80EDD56C"/>
    <w:lvl w:ilvl="0" w:tentative="0">
      <w:start w:val="1"/>
      <w:numFmt w:val="decimal"/>
      <w:suff w:val="nothing"/>
      <w:lvlText w:val="（%1）"/>
      <w:lvlJc w:val="left"/>
      <w:pPr>
        <w:ind w:left="0" w:firstLine="480"/>
      </w:pPr>
      <w:rPr>
        <w:rFonts w:hint="default"/>
      </w:rPr>
    </w:lvl>
  </w:abstractNum>
  <w:abstractNum w:abstractNumId="1">
    <w:nsid w:val="919981A4"/>
    <w:multiLevelType w:val="singleLevel"/>
    <w:tmpl w:val="919981A4"/>
    <w:lvl w:ilvl="0" w:tentative="0">
      <w:start w:val="1"/>
      <w:numFmt w:val="decimal"/>
      <w:suff w:val="nothing"/>
      <w:lvlText w:val="（%1）"/>
      <w:lvlJc w:val="left"/>
      <w:pPr>
        <w:ind w:left="0" w:firstLine="480"/>
      </w:pPr>
      <w:rPr>
        <w:rFonts w:hint="default"/>
      </w:rPr>
    </w:lvl>
  </w:abstractNum>
  <w:abstractNum w:abstractNumId="2">
    <w:nsid w:val="9434DF3B"/>
    <w:multiLevelType w:val="singleLevel"/>
    <w:tmpl w:val="9434DF3B"/>
    <w:lvl w:ilvl="0" w:tentative="0">
      <w:start w:val="1"/>
      <w:numFmt w:val="chineseCounting"/>
      <w:suff w:val="nothing"/>
      <w:lvlText w:val="（%1）"/>
      <w:lvlJc w:val="left"/>
      <w:pPr>
        <w:ind w:left="0" w:firstLine="0"/>
      </w:pPr>
      <w:rPr>
        <w:rFonts w:hint="eastAsia"/>
      </w:rPr>
    </w:lvl>
  </w:abstractNum>
  <w:abstractNum w:abstractNumId="3">
    <w:nsid w:val="9883A148"/>
    <w:multiLevelType w:val="singleLevel"/>
    <w:tmpl w:val="9883A148"/>
    <w:lvl w:ilvl="0" w:tentative="0">
      <w:start w:val="1"/>
      <w:numFmt w:val="decimal"/>
      <w:suff w:val="nothing"/>
      <w:lvlText w:val="（%1）"/>
      <w:lvlJc w:val="left"/>
      <w:pPr>
        <w:ind w:left="0" w:firstLine="480"/>
      </w:pPr>
      <w:rPr>
        <w:rFonts w:hint="default"/>
      </w:rPr>
    </w:lvl>
  </w:abstractNum>
  <w:abstractNum w:abstractNumId="4">
    <w:nsid w:val="A073AB74"/>
    <w:multiLevelType w:val="singleLevel"/>
    <w:tmpl w:val="A073AB74"/>
    <w:lvl w:ilvl="0" w:tentative="0">
      <w:start w:val="1"/>
      <w:numFmt w:val="decimal"/>
      <w:suff w:val="nothing"/>
      <w:lvlText w:val="（%1）"/>
      <w:lvlJc w:val="left"/>
      <w:pPr>
        <w:ind w:left="0" w:firstLine="480"/>
      </w:pPr>
      <w:rPr>
        <w:rFonts w:hint="default"/>
      </w:rPr>
    </w:lvl>
  </w:abstractNum>
  <w:abstractNum w:abstractNumId="5">
    <w:nsid w:val="A33C6113"/>
    <w:multiLevelType w:val="singleLevel"/>
    <w:tmpl w:val="A33C6113"/>
    <w:lvl w:ilvl="0" w:tentative="0">
      <w:start w:val="1"/>
      <w:numFmt w:val="decimal"/>
      <w:suff w:val="nothing"/>
      <w:lvlText w:val="%1、"/>
      <w:lvlJc w:val="left"/>
      <w:pPr>
        <w:ind w:left="0" w:firstLine="480"/>
      </w:pPr>
      <w:rPr>
        <w:rFonts w:hint="default"/>
      </w:rPr>
    </w:lvl>
  </w:abstractNum>
  <w:abstractNum w:abstractNumId="6">
    <w:nsid w:val="A43538C3"/>
    <w:multiLevelType w:val="singleLevel"/>
    <w:tmpl w:val="A43538C3"/>
    <w:lvl w:ilvl="0" w:tentative="0">
      <w:start w:val="1"/>
      <w:numFmt w:val="decimal"/>
      <w:suff w:val="nothing"/>
      <w:lvlText w:val="（%1）"/>
      <w:lvlJc w:val="left"/>
      <w:pPr>
        <w:ind w:left="0" w:firstLine="480"/>
      </w:pPr>
      <w:rPr>
        <w:rFonts w:hint="default"/>
      </w:rPr>
    </w:lvl>
  </w:abstractNum>
  <w:abstractNum w:abstractNumId="7">
    <w:nsid w:val="A4E569EB"/>
    <w:multiLevelType w:val="singleLevel"/>
    <w:tmpl w:val="A4E569EB"/>
    <w:lvl w:ilvl="0" w:tentative="0">
      <w:start w:val="1"/>
      <w:numFmt w:val="decimal"/>
      <w:suff w:val="nothing"/>
      <w:lvlText w:val="（%1）"/>
      <w:lvlJc w:val="left"/>
      <w:pPr>
        <w:ind w:left="0" w:firstLine="480"/>
      </w:pPr>
      <w:rPr>
        <w:rFonts w:hint="default"/>
      </w:rPr>
    </w:lvl>
  </w:abstractNum>
  <w:abstractNum w:abstractNumId="8">
    <w:nsid w:val="A4F54561"/>
    <w:multiLevelType w:val="singleLevel"/>
    <w:tmpl w:val="A4F54561"/>
    <w:lvl w:ilvl="0" w:tentative="0">
      <w:start w:val="1"/>
      <w:numFmt w:val="decimal"/>
      <w:suff w:val="nothing"/>
      <w:lvlText w:val="（%1）"/>
      <w:lvlJc w:val="left"/>
      <w:pPr>
        <w:ind w:left="0" w:firstLine="480"/>
      </w:pPr>
      <w:rPr>
        <w:rFonts w:hint="default"/>
      </w:rPr>
    </w:lvl>
  </w:abstractNum>
  <w:abstractNum w:abstractNumId="9">
    <w:nsid w:val="ABA966A4"/>
    <w:multiLevelType w:val="singleLevel"/>
    <w:tmpl w:val="ABA966A4"/>
    <w:lvl w:ilvl="0" w:tentative="0">
      <w:start w:val="1"/>
      <w:numFmt w:val="decimal"/>
      <w:suff w:val="nothing"/>
      <w:lvlText w:val="（%1）"/>
      <w:lvlJc w:val="left"/>
      <w:pPr>
        <w:ind w:left="0" w:firstLine="480"/>
      </w:pPr>
      <w:rPr>
        <w:rFonts w:hint="default"/>
      </w:rPr>
    </w:lvl>
  </w:abstractNum>
  <w:abstractNum w:abstractNumId="10">
    <w:nsid w:val="B3109127"/>
    <w:multiLevelType w:val="singleLevel"/>
    <w:tmpl w:val="B3109127"/>
    <w:lvl w:ilvl="0" w:tentative="0">
      <w:start w:val="1"/>
      <w:numFmt w:val="decimal"/>
      <w:suff w:val="nothing"/>
      <w:lvlText w:val="（%1）"/>
      <w:lvlJc w:val="left"/>
      <w:pPr>
        <w:ind w:left="0" w:firstLine="480"/>
      </w:pPr>
      <w:rPr>
        <w:rFonts w:hint="default"/>
      </w:rPr>
    </w:lvl>
  </w:abstractNum>
  <w:abstractNum w:abstractNumId="11">
    <w:nsid w:val="C312895D"/>
    <w:multiLevelType w:val="singleLevel"/>
    <w:tmpl w:val="C312895D"/>
    <w:lvl w:ilvl="0" w:tentative="0">
      <w:start w:val="1"/>
      <w:numFmt w:val="decimal"/>
      <w:suff w:val="space"/>
      <w:lvlText w:val="%1."/>
      <w:lvlJc w:val="left"/>
      <w:pPr>
        <w:ind w:left="0" w:firstLine="0"/>
      </w:pPr>
      <w:rPr>
        <w:rFonts w:hint="default"/>
      </w:rPr>
    </w:lvl>
  </w:abstractNum>
  <w:abstractNum w:abstractNumId="12">
    <w:nsid w:val="C63ACFFA"/>
    <w:multiLevelType w:val="singleLevel"/>
    <w:tmpl w:val="C63ACFFA"/>
    <w:lvl w:ilvl="0" w:tentative="0">
      <w:start w:val="1"/>
      <w:numFmt w:val="decimal"/>
      <w:suff w:val="nothing"/>
      <w:lvlText w:val="（%1）"/>
      <w:lvlJc w:val="left"/>
      <w:pPr>
        <w:ind w:left="0" w:firstLine="480"/>
      </w:pPr>
      <w:rPr>
        <w:rFonts w:hint="default"/>
      </w:rPr>
    </w:lvl>
  </w:abstractNum>
  <w:abstractNum w:abstractNumId="13">
    <w:nsid w:val="C79E950C"/>
    <w:multiLevelType w:val="singleLevel"/>
    <w:tmpl w:val="C79E950C"/>
    <w:lvl w:ilvl="0" w:tentative="0">
      <w:start w:val="1"/>
      <w:numFmt w:val="decimal"/>
      <w:suff w:val="nothing"/>
      <w:lvlText w:val="%1、"/>
      <w:lvlJc w:val="left"/>
      <w:pPr>
        <w:ind w:left="0" w:firstLine="480"/>
      </w:pPr>
      <w:rPr>
        <w:rFonts w:hint="default"/>
      </w:rPr>
    </w:lvl>
  </w:abstractNum>
  <w:abstractNum w:abstractNumId="14">
    <w:nsid w:val="C9BD7AE1"/>
    <w:multiLevelType w:val="singleLevel"/>
    <w:tmpl w:val="C9BD7AE1"/>
    <w:lvl w:ilvl="0" w:tentative="0">
      <w:start w:val="1"/>
      <w:numFmt w:val="upperRoman"/>
      <w:suff w:val="space"/>
      <w:lvlText w:val="%1"/>
      <w:lvlJc w:val="left"/>
      <w:pPr>
        <w:ind w:left="0" w:firstLine="0"/>
      </w:pPr>
      <w:rPr>
        <w:rFonts w:hint="default"/>
      </w:rPr>
    </w:lvl>
  </w:abstractNum>
  <w:abstractNum w:abstractNumId="15">
    <w:nsid w:val="CA20E250"/>
    <w:multiLevelType w:val="singleLevel"/>
    <w:tmpl w:val="CA20E250"/>
    <w:lvl w:ilvl="0" w:tentative="0">
      <w:start w:val="1"/>
      <w:numFmt w:val="decimal"/>
      <w:suff w:val="nothing"/>
      <w:lvlText w:val="（%1）"/>
      <w:lvlJc w:val="left"/>
      <w:pPr>
        <w:ind w:left="0" w:firstLine="480"/>
      </w:pPr>
      <w:rPr>
        <w:rFonts w:hint="default"/>
      </w:rPr>
    </w:lvl>
  </w:abstractNum>
  <w:abstractNum w:abstractNumId="16">
    <w:nsid w:val="CF3881A0"/>
    <w:multiLevelType w:val="singleLevel"/>
    <w:tmpl w:val="CF3881A0"/>
    <w:lvl w:ilvl="0" w:tentative="0">
      <w:start w:val="1"/>
      <w:numFmt w:val="decimal"/>
      <w:suff w:val="nothing"/>
      <w:lvlText w:val="（%1）"/>
      <w:lvlJc w:val="left"/>
      <w:pPr>
        <w:ind w:left="0" w:firstLine="480"/>
      </w:pPr>
      <w:rPr>
        <w:rFonts w:hint="default"/>
      </w:rPr>
    </w:lvl>
  </w:abstractNum>
  <w:abstractNum w:abstractNumId="17">
    <w:nsid w:val="D4CCF8C6"/>
    <w:multiLevelType w:val="singleLevel"/>
    <w:tmpl w:val="D4CCF8C6"/>
    <w:lvl w:ilvl="0" w:tentative="0">
      <w:start w:val="1"/>
      <w:numFmt w:val="decimal"/>
      <w:suff w:val="space"/>
      <w:lvlText w:val="%1."/>
      <w:lvlJc w:val="left"/>
      <w:pPr>
        <w:ind w:left="0" w:firstLine="480"/>
      </w:pPr>
      <w:rPr>
        <w:rFonts w:hint="default"/>
      </w:rPr>
    </w:lvl>
  </w:abstractNum>
  <w:abstractNum w:abstractNumId="18">
    <w:nsid w:val="D8C1A2DE"/>
    <w:multiLevelType w:val="singleLevel"/>
    <w:tmpl w:val="D8C1A2DE"/>
    <w:lvl w:ilvl="0" w:tentative="0">
      <w:start w:val="1"/>
      <w:numFmt w:val="decimal"/>
      <w:suff w:val="nothing"/>
      <w:lvlText w:val="%1、"/>
      <w:lvlJc w:val="left"/>
      <w:pPr>
        <w:ind w:left="0" w:firstLine="480"/>
      </w:pPr>
      <w:rPr>
        <w:rFonts w:hint="default"/>
      </w:rPr>
    </w:lvl>
  </w:abstractNum>
  <w:abstractNum w:abstractNumId="19">
    <w:nsid w:val="DB0D79C6"/>
    <w:multiLevelType w:val="singleLevel"/>
    <w:tmpl w:val="DB0D79C6"/>
    <w:lvl w:ilvl="0" w:tentative="0">
      <w:start w:val="1"/>
      <w:numFmt w:val="decimal"/>
      <w:suff w:val="nothing"/>
      <w:lvlText w:val="（%1）"/>
      <w:lvlJc w:val="left"/>
      <w:pPr>
        <w:ind w:left="0" w:firstLine="480"/>
      </w:pPr>
      <w:rPr>
        <w:rFonts w:hint="default"/>
      </w:rPr>
    </w:lvl>
  </w:abstractNum>
  <w:abstractNum w:abstractNumId="20">
    <w:nsid w:val="E4095E93"/>
    <w:multiLevelType w:val="singleLevel"/>
    <w:tmpl w:val="E4095E93"/>
    <w:lvl w:ilvl="0" w:tentative="0">
      <w:start w:val="1"/>
      <w:numFmt w:val="decimal"/>
      <w:suff w:val="nothing"/>
      <w:lvlText w:val="（%1）"/>
      <w:lvlJc w:val="left"/>
      <w:pPr>
        <w:ind w:left="0" w:firstLine="480"/>
      </w:pPr>
      <w:rPr>
        <w:rFonts w:hint="default"/>
      </w:rPr>
    </w:lvl>
  </w:abstractNum>
  <w:abstractNum w:abstractNumId="21">
    <w:nsid w:val="E6A9CA04"/>
    <w:multiLevelType w:val="singleLevel"/>
    <w:tmpl w:val="E6A9CA04"/>
    <w:lvl w:ilvl="0" w:tentative="0">
      <w:start w:val="1"/>
      <w:numFmt w:val="decimal"/>
      <w:suff w:val="nothing"/>
      <w:lvlText w:val="%1、"/>
      <w:lvlJc w:val="left"/>
      <w:pPr>
        <w:ind w:left="0" w:firstLine="480"/>
      </w:pPr>
      <w:rPr>
        <w:rFonts w:hint="default"/>
      </w:rPr>
    </w:lvl>
  </w:abstractNum>
  <w:abstractNum w:abstractNumId="22">
    <w:nsid w:val="EAA261A6"/>
    <w:multiLevelType w:val="singleLevel"/>
    <w:tmpl w:val="EAA261A6"/>
    <w:lvl w:ilvl="0" w:tentative="0">
      <w:start w:val="1"/>
      <w:numFmt w:val="decimal"/>
      <w:suff w:val="space"/>
      <w:lvlText w:val="%1."/>
      <w:lvlJc w:val="left"/>
      <w:pPr>
        <w:ind w:left="0" w:firstLine="0"/>
      </w:pPr>
      <w:rPr>
        <w:rFonts w:hint="default"/>
      </w:rPr>
    </w:lvl>
  </w:abstractNum>
  <w:abstractNum w:abstractNumId="23">
    <w:nsid w:val="EB366561"/>
    <w:multiLevelType w:val="singleLevel"/>
    <w:tmpl w:val="EB366561"/>
    <w:lvl w:ilvl="0" w:tentative="0">
      <w:start w:val="1"/>
      <w:numFmt w:val="decimal"/>
      <w:suff w:val="nothing"/>
      <w:lvlText w:val="%1、"/>
      <w:lvlJc w:val="left"/>
      <w:pPr>
        <w:ind w:left="0" w:firstLine="480"/>
      </w:pPr>
      <w:rPr>
        <w:rFonts w:hint="default"/>
      </w:rPr>
    </w:lvl>
  </w:abstractNum>
  <w:abstractNum w:abstractNumId="24">
    <w:nsid w:val="ECF62C86"/>
    <w:multiLevelType w:val="singleLevel"/>
    <w:tmpl w:val="ECF62C86"/>
    <w:lvl w:ilvl="0" w:tentative="0">
      <w:start w:val="1"/>
      <w:numFmt w:val="decimal"/>
      <w:suff w:val="nothing"/>
      <w:lvlText w:val="（%1）"/>
      <w:lvlJc w:val="left"/>
      <w:pPr>
        <w:ind w:left="0" w:firstLine="480"/>
      </w:pPr>
      <w:rPr>
        <w:rFonts w:hint="default"/>
      </w:rPr>
    </w:lvl>
  </w:abstractNum>
  <w:abstractNum w:abstractNumId="25">
    <w:nsid w:val="EEC85F06"/>
    <w:multiLevelType w:val="singleLevel"/>
    <w:tmpl w:val="EEC85F06"/>
    <w:lvl w:ilvl="0" w:tentative="0">
      <w:start w:val="1"/>
      <w:numFmt w:val="chineseCounting"/>
      <w:suff w:val="nothing"/>
      <w:lvlText w:val="%1、"/>
      <w:lvlJc w:val="left"/>
      <w:pPr>
        <w:ind w:left="0" w:firstLine="0"/>
      </w:pPr>
      <w:rPr>
        <w:rFonts w:hint="eastAsia"/>
      </w:rPr>
    </w:lvl>
  </w:abstractNum>
  <w:abstractNum w:abstractNumId="26">
    <w:nsid w:val="EED54AA0"/>
    <w:multiLevelType w:val="singleLevel"/>
    <w:tmpl w:val="EED54AA0"/>
    <w:lvl w:ilvl="0" w:tentative="0">
      <w:start w:val="1"/>
      <w:numFmt w:val="decimal"/>
      <w:suff w:val="nothing"/>
      <w:lvlText w:val="（%1）"/>
      <w:lvlJc w:val="left"/>
      <w:pPr>
        <w:ind w:left="0" w:firstLine="480"/>
      </w:pPr>
      <w:rPr>
        <w:rFonts w:hint="default"/>
      </w:rPr>
    </w:lvl>
  </w:abstractNum>
  <w:abstractNum w:abstractNumId="27">
    <w:nsid w:val="EFC2D791"/>
    <w:multiLevelType w:val="singleLevel"/>
    <w:tmpl w:val="EFC2D791"/>
    <w:lvl w:ilvl="0" w:tentative="0">
      <w:start w:val="1"/>
      <w:numFmt w:val="decimal"/>
      <w:suff w:val="nothing"/>
      <w:lvlText w:val="（%1）"/>
      <w:lvlJc w:val="left"/>
      <w:pPr>
        <w:ind w:left="0" w:firstLine="480"/>
      </w:pPr>
      <w:rPr>
        <w:rFonts w:hint="default"/>
      </w:rPr>
    </w:lvl>
  </w:abstractNum>
  <w:abstractNum w:abstractNumId="28">
    <w:nsid w:val="F7DB601E"/>
    <w:multiLevelType w:val="singleLevel"/>
    <w:tmpl w:val="F7DB601E"/>
    <w:lvl w:ilvl="0" w:tentative="0">
      <w:start w:val="1"/>
      <w:numFmt w:val="decimal"/>
      <w:suff w:val="nothing"/>
      <w:lvlText w:val="（%1）"/>
      <w:lvlJc w:val="left"/>
      <w:pPr>
        <w:ind w:left="0" w:firstLine="480"/>
      </w:pPr>
      <w:rPr>
        <w:rFonts w:hint="default"/>
      </w:rPr>
    </w:lvl>
  </w:abstractNum>
  <w:abstractNum w:abstractNumId="29">
    <w:nsid w:val="FDEB9947"/>
    <w:multiLevelType w:val="singleLevel"/>
    <w:tmpl w:val="FDEB9947"/>
    <w:lvl w:ilvl="0" w:tentative="0">
      <w:start w:val="1"/>
      <w:numFmt w:val="decimal"/>
      <w:suff w:val="nothing"/>
      <w:lvlText w:val="（%1）"/>
      <w:lvlJc w:val="left"/>
      <w:pPr>
        <w:ind w:left="0" w:firstLine="480"/>
      </w:pPr>
      <w:rPr>
        <w:rFonts w:hint="default"/>
      </w:rPr>
    </w:lvl>
  </w:abstractNum>
  <w:abstractNum w:abstractNumId="30">
    <w:nsid w:val="01D8201C"/>
    <w:multiLevelType w:val="singleLevel"/>
    <w:tmpl w:val="01D8201C"/>
    <w:lvl w:ilvl="0" w:tentative="0">
      <w:start w:val="1"/>
      <w:numFmt w:val="decimal"/>
      <w:suff w:val="nothing"/>
      <w:lvlText w:val="（%1）"/>
      <w:lvlJc w:val="left"/>
      <w:pPr>
        <w:ind w:left="0" w:firstLine="480"/>
      </w:pPr>
      <w:rPr>
        <w:rFonts w:hint="default"/>
      </w:rPr>
    </w:lvl>
  </w:abstractNum>
  <w:abstractNum w:abstractNumId="31">
    <w:nsid w:val="05A41CAE"/>
    <w:multiLevelType w:val="singleLevel"/>
    <w:tmpl w:val="05A41CAE"/>
    <w:lvl w:ilvl="0" w:tentative="0">
      <w:start w:val="1"/>
      <w:numFmt w:val="decimal"/>
      <w:suff w:val="nothing"/>
      <w:lvlText w:val="%1、"/>
      <w:lvlJc w:val="left"/>
      <w:pPr>
        <w:ind w:left="0" w:firstLine="480"/>
      </w:pPr>
      <w:rPr>
        <w:rFonts w:hint="default"/>
      </w:rPr>
    </w:lvl>
  </w:abstractNum>
  <w:abstractNum w:abstractNumId="32">
    <w:nsid w:val="09D83829"/>
    <w:multiLevelType w:val="singleLevel"/>
    <w:tmpl w:val="09D83829"/>
    <w:lvl w:ilvl="0" w:tentative="0">
      <w:start w:val="1"/>
      <w:numFmt w:val="decimal"/>
      <w:suff w:val="nothing"/>
      <w:lvlText w:val="（%1）"/>
      <w:lvlJc w:val="left"/>
      <w:pPr>
        <w:ind w:left="0" w:firstLine="480"/>
      </w:pPr>
      <w:rPr>
        <w:rFonts w:hint="default"/>
      </w:rPr>
    </w:lvl>
  </w:abstractNum>
  <w:abstractNum w:abstractNumId="33">
    <w:nsid w:val="1BD783AA"/>
    <w:multiLevelType w:val="singleLevel"/>
    <w:tmpl w:val="1BD783AA"/>
    <w:lvl w:ilvl="0" w:tentative="0">
      <w:start w:val="1"/>
      <w:numFmt w:val="decimal"/>
      <w:suff w:val="nothing"/>
      <w:lvlText w:val="（%1）"/>
      <w:lvlJc w:val="left"/>
      <w:pPr>
        <w:ind w:left="0" w:firstLine="480"/>
      </w:pPr>
      <w:rPr>
        <w:rFonts w:hint="default"/>
      </w:rPr>
    </w:lvl>
  </w:abstractNum>
  <w:abstractNum w:abstractNumId="34">
    <w:nsid w:val="20C283EF"/>
    <w:multiLevelType w:val="singleLevel"/>
    <w:tmpl w:val="20C283EF"/>
    <w:lvl w:ilvl="0" w:tentative="0">
      <w:start w:val="1"/>
      <w:numFmt w:val="decimal"/>
      <w:suff w:val="nothing"/>
      <w:lvlText w:val="（%1）"/>
      <w:lvlJc w:val="left"/>
      <w:pPr>
        <w:ind w:left="0" w:firstLine="480"/>
      </w:pPr>
      <w:rPr>
        <w:rFonts w:hint="default"/>
      </w:rPr>
    </w:lvl>
  </w:abstractNum>
  <w:abstractNum w:abstractNumId="35">
    <w:nsid w:val="25863FCB"/>
    <w:multiLevelType w:val="singleLevel"/>
    <w:tmpl w:val="25863FCB"/>
    <w:lvl w:ilvl="0" w:tentative="0">
      <w:start w:val="1"/>
      <w:numFmt w:val="decimal"/>
      <w:suff w:val="nothing"/>
      <w:lvlText w:val="（%1）"/>
      <w:lvlJc w:val="left"/>
      <w:pPr>
        <w:ind w:left="0" w:firstLine="480"/>
      </w:pPr>
      <w:rPr>
        <w:rFonts w:hint="default"/>
      </w:rPr>
    </w:lvl>
  </w:abstractNum>
  <w:abstractNum w:abstractNumId="36">
    <w:nsid w:val="2BDF4394"/>
    <w:multiLevelType w:val="singleLevel"/>
    <w:tmpl w:val="2BDF4394"/>
    <w:lvl w:ilvl="0" w:tentative="0">
      <w:start w:val="1"/>
      <w:numFmt w:val="decimal"/>
      <w:suff w:val="nothing"/>
      <w:lvlText w:val="%1、"/>
      <w:lvlJc w:val="left"/>
      <w:pPr>
        <w:ind w:left="0" w:firstLine="480"/>
      </w:pPr>
      <w:rPr>
        <w:rFonts w:hint="default"/>
      </w:rPr>
    </w:lvl>
  </w:abstractNum>
  <w:abstractNum w:abstractNumId="37">
    <w:nsid w:val="475CEEE2"/>
    <w:multiLevelType w:val="singleLevel"/>
    <w:tmpl w:val="475CEEE2"/>
    <w:lvl w:ilvl="0" w:tentative="0">
      <w:start w:val="1"/>
      <w:numFmt w:val="decimal"/>
      <w:suff w:val="nothing"/>
      <w:lvlText w:val="（%1）"/>
      <w:lvlJc w:val="left"/>
      <w:pPr>
        <w:ind w:left="0" w:firstLine="480"/>
      </w:pPr>
      <w:rPr>
        <w:rFonts w:hint="default"/>
      </w:rPr>
    </w:lvl>
  </w:abstractNum>
  <w:abstractNum w:abstractNumId="38">
    <w:nsid w:val="4BCE05A3"/>
    <w:multiLevelType w:val="singleLevel"/>
    <w:tmpl w:val="4BCE05A3"/>
    <w:lvl w:ilvl="0" w:tentative="0">
      <w:start w:val="1"/>
      <w:numFmt w:val="decimal"/>
      <w:suff w:val="nothing"/>
      <w:lvlText w:val="%1、"/>
      <w:lvlJc w:val="left"/>
      <w:pPr>
        <w:ind w:left="0" w:firstLine="0"/>
      </w:pPr>
      <w:rPr>
        <w:rFonts w:hint="default"/>
      </w:rPr>
    </w:lvl>
  </w:abstractNum>
  <w:abstractNum w:abstractNumId="39">
    <w:nsid w:val="4C1D4FB7"/>
    <w:multiLevelType w:val="singleLevel"/>
    <w:tmpl w:val="4C1D4FB7"/>
    <w:lvl w:ilvl="0" w:tentative="0">
      <w:start w:val="1"/>
      <w:numFmt w:val="decimal"/>
      <w:suff w:val="nothing"/>
      <w:lvlText w:val="（%1）"/>
      <w:lvlJc w:val="left"/>
      <w:pPr>
        <w:ind w:left="0" w:firstLine="480"/>
      </w:pPr>
      <w:rPr>
        <w:rFonts w:hint="default"/>
      </w:rPr>
    </w:lvl>
  </w:abstractNum>
  <w:abstractNum w:abstractNumId="40">
    <w:nsid w:val="50D3F1C2"/>
    <w:multiLevelType w:val="singleLevel"/>
    <w:tmpl w:val="50D3F1C2"/>
    <w:lvl w:ilvl="0" w:tentative="0">
      <w:start w:val="1"/>
      <w:numFmt w:val="decimal"/>
      <w:suff w:val="nothing"/>
      <w:lvlText w:val="（%1）"/>
      <w:lvlJc w:val="left"/>
      <w:pPr>
        <w:ind w:left="0" w:firstLine="480"/>
      </w:pPr>
      <w:rPr>
        <w:rFonts w:hint="default"/>
      </w:rPr>
    </w:lvl>
  </w:abstractNum>
  <w:abstractNum w:abstractNumId="41">
    <w:nsid w:val="51035090"/>
    <w:multiLevelType w:val="singleLevel"/>
    <w:tmpl w:val="51035090"/>
    <w:lvl w:ilvl="0" w:tentative="0">
      <w:start w:val="1"/>
      <w:numFmt w:val="decimal"/>
      <w:suff w:val="nothing"/>
      <w:lvlText w:val="（%1）"/>
      <w:lvlJc w:val="left"/>
      <w:pPr>
        <w:ind w:left="0" w:firstLine="480"/>
      </w:pPr>
      <w:rPr>
        <w:rFonts w:hint="default"/>
      </w:rPr>
    </w:lvl>
  </w:abstractNum>
  <w:abstractNum w:abstractNumId="42">
    <w:nsid w:val="63DDB9EE"/>
    <w:multiLevelType w:val="singleLevel"/>
    <w:tmpl w:val="63DDB9EE"/>
    <w:lvl w:ilvl="0" w:tentative="0">
      <w:start w:val="1"/>
      <w:numFmt w:val="decimal"/>
      <w:suff w:val="nothing"/>
      <w:lvlText w:val="（%1）"/>
      <w:lvlJc w:val="left"/>
      <w:pPr>
        <w:ind w:left="0" w:firstLine="480"/>
      </w:pPr>
      <w:rPr>
        <w:rFonts w:hint="default"/>
      </w:rPr>
    </w:lvl>
  </w:abstractNum>
  <w:abstractNum w:abstractNumId="43">
    <w:nsid w:val="67887E85"/>
    <w:multiLevelType w:val="singleLevel"/>
    <w:tmpl w:val="67887E85"/>
    <w:lvl w:ilvl="0" w:tentative="0">
      <w:start w:val="1"/>
      <w:numFmt w:val="decimal"/>
      <w:suff w:val="nothing"/>
      <w:lvlText w:val="（%1）"/>
      <w:lvlJc w:val="left"/>
      <w:pPr>
        <w:ind w:left="0" w:firstLine="480"/>
      </w:pPr>
      <w:rPr>
        <w:rFonts w:hint="default"/>
      </w:rPr>
    </w:lvl>
  </w:abstractNum>
  <w:abstractNum w:abstractNumId="44">
    <w:nsid w:val="7F36B58E"/>
    <w:multiLevelType w:val="singleLevel"/>
    <w:tmpl w:val="7F36B58E"/>
    <w:lvl w:ilvl="0" w:tentative="0">
      <w:start w:val="1"/>
      <w:numFmt w:val="decimal"/>
      <w:suff w:val="nothing"/>
      <w:lvlText w:val="%1、"/>
      <w:lvlJc w:val="left"/>
      <w:pPr>
        <w:ind w:left="0" w:firstLine="480"/>
      </w:pPr>
      <w:rPr>
        <w:rFonts w:hint="default"/>
      </w:rPr>
    </w:lvl>
  </w:abstractNum>
  <w:num w:numId="1">
    <w:abstractNumId w:val="25"/>
  </w:num>
  <w:num w:numId="2">
    <w:abstractNumId w:val="2"/>
  </w:num>
  <w:num w:numId="3">
    <w:abstractNumId w:val="18"/>
  </w:num>
  <w:num w:numId="4">
    <w:abstractNumId w:val="36"/>
  </w:num>
  <w:num w:numId="5">
    <w:abstractNumId w:val="44"/>
  </w:num>
  <w:num w:numId="6">
    <w:abstractNumId w:val="21"/>
  </w:num>
  <w:num w:numId="7">
    <w:abstractNumId w:val="31"/>
  </w:num>
  <w:num w:numId="8">
    <w:abstractNumId w:val="23"/>
  </w:num>
  <w:num w:numId="9">
    <w:abstractNumId w:val="5"/>
  </w:num>
  <w:num w:numId="10">
    <w:abstractNumId w:val="38"/>
  </w:num>
  <w:num w:numId="11">
    <w:abstractNumId w:val="10"/>
  </w:num>
  <w:num w:numId="12">
    <w:abstractNumId w:val="40"/>
  </w:num>
  <w:num w:numId="13">
    <w:abstractNumId w:val="13"/>
  </w:num>
  <w:num w:numId="14">
    <w:abstractNumId w:val="17"/>
  </w:num>
  <w:num w:numId="15">
    <w:abstractNumId w:val="14"/>
  </w:num>
  <w:num w:numId="16">
    <w:abstractNumId w:val="22"/>
  </w:num>
  <w:num w:numId="17">
    <w:abstractNumId w:val="39"/>
  </w:num>
  <w:num w:numId="18">
    <w:abstractNumId w:val="3"/>
  </w:num>
  <w:num w:numId="19">
    <w:abstractNumId w:val="1"/>
  </w:num>
  <w:num w:numId="20">
    <w:abstractNumId w:val="24"/>
  </w:num>
  <w:num w:numId="21">
    <w:abstractNumId w:val="7"/>
  </w:num>
  <w:num w:numId="22">
    <w:abstractNumId w:val="26"/>
  </w:num>
  <w:num w:numId="23">
    <w:abstractNumId w:val="32"/>
  </w:num>
  <w:num w:numId="24">
    <w:abstractNumId w:val="0"/>
  </w:num>
  <w:num w:numId="25">
    <w:abstractNumId w:val="42"/>
  </w:num>
  <w:num w:numId="26">
    <w:abstractNumId w:val="30"/>
  </w:num>
  <w:num w:numId="27">
    <w:abstractNumId w:val="19"/>
  </w:num>
  <w:num w:numId="28">
    <w:abstractNumId w:val="12"/>
  </w:num>
  <w:num w:numId="29">
    <w:abstractNumId w:val="41"/>
  </w:num>
  <w:num w:numId="30">
    <w:abstractNumId w:val="20"/>
  </w:num>
  <w:num w:numId="31">
    <w:abstractNumId w:val="34"/>
  </w:num>
  <w:num w:numId="32">
    <w:abstractNumId w:val="15"/>
  </w:num>
  <w:num w:numId="33">
    <w:abstractNumId w:val="9"/>
  </w:num>
  <w:num w:numId="34">
    <w:abstractNumId w:val="27"/>
  </w:num>
  <w:num w:numId="35">
    <w:abstractNumId w:val="11"/>
  </w:num>
  <w:num w:numId="36">
    <w:abstractNumId w:val="28"/>
  </w:num>
  <w:num w:numId="37">
    <w:abstractNumId w:val="6"/>
  </w:num>
  <w:num w:numId="38">
    <w:abstractNumId w:val="16"/>
  </w:num>
  <w:num w:numId="39">
    <w:abstractNumId w:val="37"/>
  </w:num>
  <w:num w:numId="40">
    <w:abstractNumId w:val="43"/>
  </w:num>
  <w:num w:numId="41">
    <w:abstractNumId w:val="35"/>
  </w:num>
  <w:num w:numId="42">
    <w:abstractNumId w:val="8"/>
  </w:num>
  <w:num w:numId="43">
    <w:abstractNumId w:val="33"/>
  </w:num>
  <w:num w:numId="44">
    <w:abstractNumId w:val="4"/>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5ODk4ZGU4NjE5YTdkYzViYTRhY2Y0NDRmMTA2ZWEifQ=="/>
  </w:docVars>
  <w:rsids>
    <w:rsidRoot w:val="53B52B8D"/>
    <w:rsid w:val="024718DB"/>
    <w:rsid w:val="02E9152C"/>
    <w:rsid w:val="04AA2291"/>
    <w:rsid w:val="057D00C0"/>
    <w:rsid w:val="066E00FE"/>
    <w:rsid w:val="06B23C3C"/>
    <w:rsid w:val="08F236EB"/>
    <w:rsid w:val="0A4C5E14"/>
    <w:rsid w:val="0C560A47"/>
    <w:rsid w:val="0DB82DAF"/>
    <w:rsid w:val="11F62177"/>
    <w:rsid w:val="159671BD"/>
    <w:rsid w:val="162C45D2"/>
    <w:rsid w:val="17451783"/>
    <w:rsid w:val="177F50ED"/>
    <w:rsid w:val="17DE5022"/>
    <w:rsid w:val="1A317C51"/>
    <w:rsid w:val="1C3D6297"/>
    <w:rsid w:val="1D11726B"/>
    <w:rsid w:val="1D885A81"/>
    <w:rsid w:val="2BE30DC2"/>
    <w:rsid w:val="2C5904FD"/>
    <w:rsid w:val="33AC5F0C"/>
    <w:rsid w:val="33D971D3"/>
    <w:rsid w:val="34647A91"/>
    <w:rsid w:val="350D737F"/>
    <w:rsid w:val="35AF0845"/>
    <w:rsid w:val="370B5FAC"/>
    <w:rsid w:val="3AE43EC6"/>
    <w:rsid w:val="3C596F1E"/>
    <w:rsid w:val="3DDF77F2"/>
    <w:rsid w:val="3FF70735"/>
    <w:rsid w:val="425F3C2F"/>
    <w:rsid w:val="44391EA4"/>
    <w:rsid w:val="44B824AD"/>
    <w:rsid w:val="47606466"/>
    <w:rsid w:val="47E769F1"/>
    <w:rsid w:val="49200851"/>
    <w:rsid w:val="49480668"/>
    <w:rsid w:val="4ABB6540"/>
    <w:rsid w:val="4BA15816"/>
    <w:rsid w:val="4DE3152A"/>
    <w:rsid w:val="4F1E7C02"/>
    <w:rsid w:val="53A2397B"/>
    <w:rsid w:val="53B52B8D"/>
    <w:rsid w:val="55A84294"/>
    <w:rsid w:val="5651167C"/>
    <w:rsid w:val="566F74DC"/>
    <w:rsid w:val="56923257"/>
    <w:rsid w:val="591F7CEC"/>
    <w:rsid w:val="592D40C2"/>
    <w:rsid w:val="599E66D8"/>
    <w:rsid w:val="5B5F4C71"/>
    <w:rsid w:val="5BB26CC0"/>
    <w:rsid w:val="5D6B084C"/>
    <w:rsid w:val="5EFB4BE0"/>
    <w:rsid w:val="622F5E7E"/>
    <w:rsid w:val="630645DA"/>
    <w:rsid w:val="63AF1D90"/>
    <w:rsid w:val="64790728"/>
    <w:rsid w:val="648B3132"/>
    <w:rsid w:val="659229CB"/>
    <w:rsid w:val="6DAA4F39"/>
    <w:rsid w:val="6E2C72E6"/>
    <w:rsid w:val="77B91F8A"/>
    <w:rsid w:val="77F79321"/>
    <w:rsid w:val="7AA02113"/>
    <w:rsid w:val="7D3F70F5"/>
    <w:rsid w:val="7D8E7F45"/>
    <w:rsid w:val="7F7A4BBB"/>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Times New Roman"/>
      <w:kern w:val="2"/>
      <w:sz w:val="28"/>
      <w:szCs w:val="22"/>
      <w:lang w:val="en-US" w:eastAsia="zh-CN" w:bidi="ar-SA"/>
    </w:rPr>
  </w:style>
  <w:style w:type="paragraph" w:styleId="2">
    <w:name w:val="heading 1"/>
    <w:next w:val="1"/>
    <w:qFormat/>
    <w:uiPriority w:val="9"/>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link w:val="37"/>
    <w:unhideWhenUsed/>
    <w:qFormat/>
    <w:uiPriority w:val="9"/>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adjustRightInd w:val="0"/>
      <w:spacing w:line="312" w:lineRule="atLeast"/>
      <w:ind w:firstLine="420"/>
      <w:textAlignment w:val="baseline"/>
    </w:pPr>
    <w:rPr>
      <w:kern w:val="0"/>
      <w:sz w:val="20"/>
      <w:szCs w:val="20"/>
    </w:rPr>
  </w:style>
  <w:style w:type="paragraph" w:styleId="12">
    <w:name w:val="annotation text"/>
    <w:basedOn w:val="1"/>
    <w:qFormat/>
    <w:uiPriority w:val="0"/>
    <w:pPr>
      <w:jc w:val="left"/>
    </w:pPr>
  </w:style>
  <w:style w:type="paragraph" w:styleId="13">
    <w:name w:val="Body Text"/>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4">
    <w:name w:val="Body Text Indent"/>
    <w:basedOn w:val="1"/>
    <w:qFormat/>
    <w:uiPriority w:val="0"/>
    <w:pPr>
      <w:spacing w:after="120"/>
      <w:ind w:left="420" w:leftChars="200"/>
    </w:pPr>
  </w:style>
  <w:style w:type="paragraph" w:styleId="15">
    <w:name w:val="footer"/>
    <w:basedOn w:val="1"/>
    <w:unhideWhenUsed/>
    <w:qFormat/>
    <w:uiPriority w:val="0"/>
    <w:pPr>
      <w:tabs>
        <w:tab w:val="center" w:pos="4153"/>
        <w:tab w:val="right" w:pos="8306"/>
      </w:tabs>
      <w:snapToGrid w:val="0"/>
      <w:jc w:val="left"/>
    </w:pPr>
    <w:rPr>
      <w:sz w:val="18"/>
      <w:szCs w:val="18"/>
    </w:rPr>
  </w:style>
  <w:style w:type="paragraph" w:styleId="1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8">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paragraph" w:styleId="19">
    <w:name w:val="Body Text First Indent"/>
    <w:basedOn w:val="1"/>
    <w:qFormat/>
    <w:uiPriority w:val="0"/>
    <w:pPr>
      <w:ind w:firstLine="420" w:firstLineChars="100"/>
    </w:pPr>
    <w:rPr>
      <w:rFonts w:ascii="Tahoma" w:hAnsi="Tahoma" w:eastAsia="宋体" w:cs="Times New Roman"/>
    </w:rPr>
  </w:style>
  <w:style w:type="paragraph" w:styleId="20">
    <w:name w:val="Body Text First Indent 2"/>
    <w:basedOn w:val="14"/>
    <w:next w:val="1"/>
    <w:qFormat/>
    <w:uiPriority w:val="0"/>
    <w:pPr>
      <w:ind w:firstLine="420" w:firstLineChars="200"/>
    </w:pPr>
    <w:rPr>
      <w:rFonts w:ascii="Calibri" w:hAnsi="Calibri" w:eastAsia="宋体" w:cs="Times New Roman"/>
    </w:rPr>
  </w:style>
  <w:style w:type="character" w:styleId="23">
    <w:name w:val="Strong"/>
    <w:basedOn w:val="22"/>
    <w:qFormat/>
    <w:uiPriority w:val="0"/>
    <w:rPr>
      <w:b/>
      <w:bCs/>
    </w:rPr>
  </w:style>
  <w:style w:type="character" w:styleId="24">
    <w:name w:val="Hyperlink"/>
    <w:basedOn w:val="22"/>
    <w:qFormat/>
    <w:uiPriority w:val="0"/>
    <w:rPr>
      <w:color w:val="0000FF"/>
      <w:u w:val="single"/>
    </w:rPr>
  </w:style>
  <w:style w:type="paragraph" w:customStyle="1" w:styleId="25">
    <w:name w:val="null3"/>
    <w:hidden/>
    <w:qFormat/>
    <w:uiPriority w:val="0"/>
    <w:rPr>
      <w:rFonts w:hint="eastAsia" w:asciiTheme="minorHAnsi" w:hAnsiTheme="minorHAnsi" w:eastAsiaTheme="minorEastAsia" w:cstheme="minorBidi"/>
      <w:lang w:val="en-US" w:eastAsia="zh-Hans"/>
    </w:rPr>
  </w:style>
  <w:style w:type="character" w:customStyle="1" w:styleId="26">
    <w:name w:val="font41"/>
    <w:basedOn w:val="22"/>
    <w:qFormat/>
    <w:uiPriority w:val="0"/>
    <w:rPr>
      <w:rFonts w:hint="eastAsia" w:ascii="宋体" w:hAnsi="宋体" w:eastAsia="宋体" w:cs="宋体"/>
      <w:b/>
      <w:bCs/>
      <w:color w:val="000000"/>
      <w:sz w:val="16"/>
      <w:szCs w:val="16"/>
      <w:u w:val="none"/>
    </w:rPr>
  </w:style>
  <w:style w:type="character" w:customStyle="1" w:styleId="27">
    <w:name w:val="font71"/>
    <w:basedOn w:val="22"/>
    <w:qFormat/>
    <w:uiPriority w:val="0"/>
    <w:rPr>
      <w:rFonts w:hint="eastAsia" w:ascii="宋体" w:hAnsi="宋体" w:eastAsia="宋体" w:cs="宋体"/>
      <w:color w:val="000000"/>
      <w:sz w:val="16"/>
      <w:szCs w:val="16"/>
      <w:u w:val="none"/>
    </w:rPr>
  </w:style>
  <w:style w:type="paragraph" w:customStyle="1" w:styleId="28">
    <w:name w:val="段"/>
    <w:qFormat/>
    <w:uiPriority w:val="0"/>
    <w:pPr>
      <w:tabs>
        <w:tab w:val="center" w:pos="4201"/>
        <w:tab w:val="right" w:leader="dot" w:pos="9298"/>
      </w:tabs>
      <w:autoSpaceDE w:val="0"/>
      <w:autoSpaceDN w:val="0"/>
      <w:spacing w:after="200" w:line="276" w:lineRule="auto"/>
      <w:ind w:firstLine="420" w:firstLineChars="200"/>
      <w:jc w:val="both"/>
    </w:pPr>
    <w:rPr>
      <w:rFonts w:ascii="宋体" w:hAnsi="Times New Roman" w:eastAsia="宋体" w:cs="Times New Roman"/>
      <w:sz w:val="21"/>
      <w:lang w:val="en-US" w:eastAsia="zh-CN" w:bidi="ar-SA"/>
    </w:rPr>
  </w:style>
  <w:style w:type="paragraph" w:customStyle="1" w:styleId="29">
    <w:name w:val="正文_0"/>
    <w:next w:val="20"/>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30">
    <w:name w:val="普通(网站)_0"/>
    <w:basedOn w:val="31"/>
    <w:unhideWhenUsed/>
    <w:qFormat/>
    <w:uiPriority w:val="99"/>
    <w:rPr>
      <w:sz w:val="24"/>
    </w:rPr>
  </w:style>
  <w:style w:type="paragraph" w:customStyle="1" w:styleId="31">
    <w:name w:val="正文_1"/>
    <w:next w:val="20"/>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32">
    <w:name w:val="正文_0_1"/>
    <w:next w:val="20"/>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customStyle="1" w:styleId="33">
    <w:name w:val="p141_1"/>
    <w:qFormat/>
    <w:uiPriority w:val="0"/>
    <w:rPr>
      <w:rFonts w:ascii="Calibri" w:hAnsi="Calibri"/>
      <w:sz w:val="21"/>
      <w:szCs w:val="21"/>
      <w:lang w:val="en-US" w:eastAsia="zh-CN" w:bidi="ar-SA"/>
    </w:rPr>
  </w:style>
  <w:style w:type="paragraph" w:customStyle="1" w:styleId="34">
    <w:name w:val="正文_1_0"/>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paragraph" w:customStyle="1" w:styleId="35">
    <w:name w:val="正文_0_0"/>
    <w:next w:val="36"/>
    <w:qFormat/>
    <w:uiPriority w:val="0"/>
    <w:pPr>
      <w:widowControl w:val="0"/>
      <w:autoSpaceDE w:val="0"/>
      <w:autoSpaceDN w:val="0"/>
      <w:adjustRightInd w:val="0"/>
      <w:spacing w:after="200" w:line="276" w:lineRule="auto"/>
    </w:pPr>
    <w:rPr>
      <w:rFonts w:ascii="Times New Roman" w:hAnsi="Times New Roman" w:eastAsia="宋体" w:cs="Times New Roman"/>
      <w:lang w:val="en-US" w:eastAsia="zh-CN" w:bidi="ar-SA"/>
    </w:rPr>
  </w:style>
  <w:style w:type="paragraph" w:customStyle="1" w:styleId="36">
    <w:name w:val="Default"/>
    <w:qFormat/>
    <w:uiPriority w:val="0"/>
    <w:pPr>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character" w:customStyle="1" w:styleId="37">
    <w:name w:val=" Char Char24"/>
    <w:link w:val="4"/>
    <w:qFormat/>
    <w:uiPriority w:val="0"/>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11025</Words>
  <Characters>13239</Characters>
  <Lines>0</Lines>
  <Paragraphs>0</Paragraphs>
  <TotalTime>34</TotalTime>
  <ScaleCrop>false</ScaleCrop>
  <LinksUpToDate>false</LinksUpToDate>
  <CharactersWithSpaces>13404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卢恩濠</cp:lastModifiedBy>
  <dcterms:modified xsi:type="dcterms:W3CDTF">2026-02-25T16:56:15Z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5B57B1DFE10A44AF97925B1BA6920EF6</vt:lpwstr>
  </property>
  <property fmtid="{D5CDD505-2E9C-101B-9397-08002B2CF9AE}" pid="4" name="KSOTemplateDocerSaveRecord">
    <vt:lpwstr>eyJoZGlkIjoiNTExYjdlZjZlYzBhNzYxMTVjOWVlNmJhNGFlZDQyMDIiLCJ1c2VySWQiOiIzMDQ5NjYzNjIifQ==</vt:lpwstr>
  </property>
</Properties>
</file>