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南方医科大学南方医院桶装柴油采购项目报价单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1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63"/>
        <w:gridCol w:w="2264"/>
        <w:gridCol w:w="2127"/>
        <w:gridCol w:w="1664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1AAE0FB5">
            <w:pPr>
              <w:pStyle w:val="10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963" w:type="dxa"/>
            <w:vAlign w:val="center"/>
          </w:tcPr>
          <w:p w14:paraId="234091E3">
            <w:pPr>
              <w:pStyle w:val="10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2264" w:type="dxa"/>
            <w:vAlign w:val="center"/>
          </w:tcPr>
          <w:p w14:paraId="245E25DE">
            <w:pPr>
              <w:pStyle w:val="10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7"/>
                <w:sz w:val="24"/>
              </w:rPr>
              <w:t>单价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/桶/185L）</w:t>
            </w:r>
          </w:p>
        </w:tc>
        <w:tc>
          <w:tcPr>
            <w:tcW w:w="2127" w:type="dxa"/>
            <w:vAlign w:val="center"/>
          </w:tcPr>
          <w:p w14:paraId="35090D34">
            <w:pPr>
              <w:pStyle w:val="10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1664" w:type="dxa"/>
            <w:vAlign w:val="center"/>
          </w:tcPr>
          <w:p w14:paraId="316EF5BE">
            <w:pPr>
              <w:pStyle w:val="10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03BEC829">
            <w:pPr>
              <w:pStyle w:val="10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 w14:paraId="21320881">
            <w:pPr>
              <w:pStyle w:val="10"/>
              <w:spacing w:line="308" w:lineRule="exact"/>
              <w:ind w:left="89"/>
              <w:jc w:val="center"/>
              <w:rPr>
                <w:rFonts w:hint="eastAsia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 xml:space="preserve">185L桶装柴油 </w:t>
            </w:r>
          </w:p>
          <w:p w14:paraId="5FE93C9A">
            <w:pPr>
              <w:pStyle w:val="10"/>
              <w:spacing w:line="308" w:lineRule="exact"/>
              <w:ind w:left="89"/>
              <w:jc w:val="center"/>
              <w:rPr>
                <w:rFonts w:hint="eastAsia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23桶</w:t>
            </w:r>
          </w:p>
        </w:tc>
        <w:tc>
          <w:tcPr>
            <w:tcW w:w="2264" w:type="dxa"/>
            <w:vAlign w:val="center"/>
          </w:tcPr>
          <w:p w14:paraId="7A2D8EAD">
            <w:pPr>
              <w:pStyle w:val="10"/>
              <w:spacing w:line="308" w:lineRule="exact"/>
              <w:ind w:left="89"/>
              <w:jc w:val="center"/>
              <w:rPr>
                <w:spacing w:val="-7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D28AEE">
            <w:pPr>
              <w:pStyle w:val="10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9C8CCB6">
            <w:pPr>
              <w:pStyle w:val="10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4CFF451D">
      <w:pPr>
        <w:spacing w:before="200" w:line="240" w:lineRule="auto"/>
        <w:jc w:val="left"/>
        <w:rPr>
          <w:rFonts w:hint="default" w:ascii="Times New Roman" w:eastAsia="宋体"/>
          <w:sz w:val="24"/>
          <w:szCs w:val="24"/>
          <w:lang w:val="en-US" w:eastAsia="zh-CN"/>
        </w:rPr>
      </w:pPr>
    </w:p>
    <w:p w14:paraId="640BA6EF"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技术要求</w:t>
      </w:r>
    </w:p>
    <w:p w14:paraId="40133E5B"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性能要求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符合国标GB 252-2015《普通柴油》Ⅵ标准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；</w:t>
      </w:r>
    </w:p>
    <w:p w14:paraId="35859C3C"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材料要求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使用全新未使用过的185L金属油桶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，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油桶需配备防静电密封圈及防倾倒支架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；</w:t>
      </w:r>
    </w:p>
    <w:p w14:paraId="0AD8A65F"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安全要求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：送达指定位置前由乙方承担安全责任；</w:t>
      </w:r>
    </w:p>
    <w:p w14:paraId="7FB4EBF4">
      <w:pPr>
        <w:pStyle w:val="3"/>
        <w:numPr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</w:p>
    <w:p w14:paraId="1DB55B0F"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商务要求</w:t>
      </w:r>
    </w:p>
    <w:p w14:paraId="61596C0B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交付时间和期限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中标后一周内</w:t>
      </w:r>
    </w:p>
    <w:p w14:paraId="1450C0FC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交付地点（范围）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见附表</w:t>
      </w:r>
    </w:p>
    <w:p w14:paraId="19123E13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付款条件（进度和方式）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项目供货完成验收后一次性付款</w:t>
      </w:r>
    </w:p>
    <w:p w14:paraId="02A28E75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包装和运输要求</w:t>
      </w:r>
      <w:r>
        <w:rPr>
          <w:rFonts w:hint="eastAsia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：</w:t>
      </w:r>
      <w:r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包运输</w:t>
      </w:r>
    </w:p>
    <w:p w14:paraId="46926AEF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Chars="0" w:right="0" w:rightChars="0"/>
        <w:rPr>
          <w:rFonts w:hint="default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</w:p>
    <w:p w14:paraId="0166E848">
      <w:pPr>
        <w:pStyle w:val="3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交付地点（范围）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：</w:t>
      </w:r>
    </w:p>
    <w:tbl>
      <w:tblPr>
        <w:tblStyle w:val="5"/>
        <w:tblpPr w:leftFromText="180" w:rightFromText="180" w:vertAnchor="text" w:horzAnchor="page" w:tblpXSpec="center" w:tblpY="2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2121"/>
        <w:gridCol w:w="2957"/>
      </w:tblGrid>
      <w:tr w14:paraId="7C37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1C380437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发电机编号及位置</w:t>
            </w:r>
          </w:p>
        </w:tc>
        <w:tc>
          <w:tcPr>
            <w:tcW w:w="2121" w:type="dxa"/>
          </w:tcPr>
          <w:p w14:paraId="2C982816">
            <w:pPr>
              <w:rPr>
                <w:rFonts w:hint="default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运输数量</w:t>
            </w:r>
          </w:p>
        </w:tc>
        <w:tc>
          <w:tcPr>
            <w:tcW w:w="2957" w:type="dxa"/>
          </w:tcPr>
          <w:p w14:paraId="3EACC2B5">
            <w:pPr>
              <w:rPr>
                <w:rFonts w:hint="default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794A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48C38860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1. 供电中心一层门口#6发电机房 </w:t>
            </w:r>
          </w:p>
        </w:tc>
        <w:tc>
          <w:tcPr>
            <w:tcW w:w="2121" w:type="dxa"/>
          </w:tcPr>
          <w:p w14:paraId="41B15B42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3桶</w:t>
            </w:r>
          </w:p>
        </w:tc>
        <w:tc>
          <w:tcPr>
            <w:tcW w:w="2957" w:type="dxa"/>
          </w:tcPr>
          <w:p w14:paraId="12635920">
            <w:pPr>
              <w:rPr>
                <w:rFonts w:hint="default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人工搬运距离约10米</w:t>
            </w:r>
          </w:p>
        </w:tc>
      </w:tr>
      <w:tr w14:paraId="43B3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60E89EC6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  <w:t>2. 惠侨楼负一层#7发电机房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21" w:type="dxa"/>
          </w:tcPr>
          <w:p w14:paraId="283C6FB2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6桶</w:t>
            </w:r>
          </w:p>
        </w:tc>
        <w:tc>
          <w:tcPr>
            <w:tcW w:w="2957" w:type="dxa"/>
          </w:tcPr>
          <w:p w14:paraId="22F9D81F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人工搬运距离约150米</w:t>
            </w:r>
          </w:p>
        </w:tc>
      </w:tr>
      <w:tr w14:paraId="4038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1AD0D431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  <w:t>3. 经适房负一层#8发电机房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21" w:type="dxa"/>
          </w:tcPr>
          <w:p w14:paraId="450B1AD9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3桶</w:t>
            </w:r>
          </w:p>
        </w:tc>
        <w:tc>
          <w:tcPr>
            <w:tcW w:w="2957" w:type="dxa"/>
          </w:tcPr>
          <w:p w14:paraId="3B118E40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人工搬运距离约200米</w:t>
            </w:r>
          </w:p>
        </w:tc>
      </w:tr>
      <w:tr w14:paraId="282C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277123DD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  <w:t>4. 外科住院部负一层#9发电机房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21" w:type="dxa"/>
          </w:tcPr>
          <w:p w14:paraId="138659BF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5桶</w:t>
            </w:r>
          </w:p>
        </w:tc>
        <w:tc>
          <w:tcPr>
            <w:tcW w:w="2957" w:type="dxa"/>
          </w:tcPr>
          <w:p w14:paraId="57622940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人工搬运距离约500米</w:t>
            </w:r>
          </w:p>
        </w:tc>
      </w:tr>
      <w:tr w14:paraId="6E5D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8" w:type="dxa"/>
          </w:tcPr>
          <w:p w14:paraId="69264F73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lang w:val="en-US" w:eastAsia="zh-CN"/>
              </w:rPr>
              <w:t>5. 外科住院部负一层#10发电机房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21" w:type="dxa"/>
          </w:tcPr>
          <w:p w14:paraId="5AB95CED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6桶</w:t>
            </w:r>
          </w:p>
        </w:tc>
        <w:tc>
          <w:tcPr>
            <w:tcW w:w="2957" w:type="dxa"/>
          </w:tcPr>
          <w:p w14:paraId="403CE159">
            <w:pP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人工搬运距离约500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sz w:val="24"/>
                <w:vertAlign w:val="baseline"/>
                <w:lang w:val="en-US" w:eastAsia="zh-CN"/>
              </w:rPr>
              <w:t>米</w:t>
            </w:r>
          </w:p>
        </w:tc>
      </w:tr>
    </w:tbl>
    <w:p w14:paraId="7926BD71">
      <w:pPr>
        <w:pStyle w:val="3"/>
        <w:widowControl w:val="0"/>
        <w:numPr>
          <w:numId w:val="0"/>
        </w:numPr>
        <w:tabs>
          <w:tab w:val="left" w:pos="540"/>
        </w:tabs>
        <w:autoSpaceDE w:val="0"/>
        <w:autoSpaceDN w:val="0"/>
        <w:adjustRightInd w:val="0"/>
        <w:snapToGrid w:val="0"/>
        <w:spacing w:before="0" w:after="0" w:line="440" w:lineRule="exact"/>
        <w:ind w:right="0" w:rightChars="0"/>
        <w:jc w:val="center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54F74"/>
    <w:multiLevelType w:val="singleLevel"/>
    <w:tmpl w:val="E4754F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9A05E3"/>
    <w:rsid w:val="2B302C9E"/>
    <w:rsid w:val="3A544FC3"/>
    <w:rsid w:val="40971BD9"/>
    <w:rsid w:val="41F20B4F"/>
    <w:rsid w:val="426B366F"/>
    <w:rsid w:val="5F8D0FA7"/>
    <w:rsid w:val="63057B12"/>
    <w:rsid w:val="646102C5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801</Characters>
  <TotalTime>0</TotalTime>
  <ScaleCrop>false</ScaleCrop>
  <LinksUpToDate>false</LinksUpToDate>
  <CharactersWithSpaces>811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晟哥</cp:lastModifiedBy>
  <dcterms:modified xsi:type="dcterms:W3CDTF">2025-08-11T06:43:10Z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2052-12.1.0.22215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eyJoZGlkIjoiNGJjYjBiMmNmODNmMDliOWM0ZTk5YzhjNGVlMTRiNmMiLCJ1c2VySWQiOiIyMzk3NDcwMzcifQ==</vt:lpwstr>
  </property>
</Properties>
</file>